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الهندي
</w:t>
      </w:r>
    </w:p>
    <w:p>
      <w:pPr>
        <w:jc w:val="start"/>
        <w:bidi/>
      </w:pPr>
      <w:r>
        <w:rPr>
          <w:rFonts w:ascii="arial" w:hAnsi="arial" w:eastAsia="arial" w:cs="arial"/>
          <w:sz w:val="28"/>
          <w:szCs w:val="28"/>
          <w:b w:val="1"/>
          <w:bCs w:val="1"/>
          <w:rtl/>
        </w:rPr>
        <w:t xml:space="preserve">أبو الهندي
</w:t>
      </w:r>
    </w:p>
    <w:p>
      <w:pPr/>
      <w:r>
        <w:rPr/>
        <w:t xml:space="preserve">أبو الهندي  غالب بن عبد القدوس بن شبث بن ربعي الرياحي اليربوعي، أبو الهندي: شاعر مطبوع، أدرك الدولتين الأموية والعباسية. وكان جزل الشعر سهل الالفاظ لطيف المعاني. إقامته في سجستان وخراسان. وكان يتهم بفساد الدين. واستفرغ شعره في وصف الخمر، وهو أول من تفنن في وصفها من شعراء الإسلام. وكان سكيرا خبيث السكر، رؤى في خراسان يشرب على قارعة الطريق. ومات في احدى قرى (مرو) قيل: كان مع بعض أصحابه، فنهض ليلا ليقضي حاجة فسقط من السطح، فلما أصبحوا وجدوه متدليا من السطح وقد مات. أخمل ذكره ابتعاده عن بلاد العرب. </w:t>
      </w:r>
    </w:p>
    <w:p>
      <w:pPr>
        <w:jc w:val="start"/>
        <w:bidi/>
      </w:pPr>
      <w:r>
        <w:rPr>
          <w:sz w:val="24"/>
          <w:szCs w:val="24"/>
          <w:b w:val="1"/>
          <w:bCs w:val="1"/>
          <w:rtl/>
        </w:rPr>
        <w:t xml:space="preserve">
الأعلام،(دار العلم للملايين - بيروت،2002،ط 15،ج 5،ص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2026-05-19T14:57:49+03:00</dcterms:created>
  <dcterms:modified xsi:type="dcterms:W3CDTF">2026-05-19T14:57:49+03:00</dcterms:modified>
</cp:coreProperties>
</file>

<file path=docProps/custom.xml><?xml version="1.0" encoding="utf-8"?>
<Properties xmlns="http://schemas.openxmlformats.org/officeDocument/2006/custom-properties" xmlns:vt="http://schemas.openxmlformats.org/officeDocument/2006/docPropsVTypes"/>
</file>