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الهكاري
</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 بن عيسى الحسني الطالبي، أبو محمد، ضياء الدين الهكاري: مستشار السطان صلاح الدين الأيوبي. كان في مبدأ أمره يشتغل بالفقه في حلب، واتصل بالامير أسد الدين شيركوه فصار إمامه، وتوجه معه إلى مصر. ولما توفى شيركوه سعى الهكاري إلى إمامة (صلاح الدين) في موضعه من الوزارة. وتولى صلاح الدين، وعظم أمره، فعرف لضياء الدين سابقته، واعتمد عليه في الآراء والمشورات، ولم يكن يخرج عن رأيه. وكان يلبس زي الجند ويعتم بعمامة الفقهاء. واستمر على مكانته وتوفر حرمته إلى أن توفى بقرب عكا، ونقل إلى القدس فدفن بظاهرها.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عيسى ضياء الدين الهكاري
</w:t>
      </w:r>
    </w:p>
    <w:p>
      <w:pPr/>
      <w:r>
        <w:rPr/>
        <w:t xml:space="preserve">الفقيه عيسى ضياء الدين الهكاري عيسى بن محمد بن أحمد بن يوسف بن القاسم بن عيسى بن محمد بن القاسم بن محمد بن الحسن بن علي بن أبي طالب الهكاري، ضياء الدين. </w:t>
      </w:r>
    </w:p>
    <w:p/>
    <w:p>
      <w:pPr/>
      <w:r>
        <w:rPr/>
        <w:t xml:space="preserve">أحد الأمراء بالدولة الصلاحية. </w:t>
      </w:r>
    </w:p>
    <w:p/>
    <w:p>
      <w:pPr/>
      <w:r>
        <w:rPr/>
        <w:t xml:space="preserve">كان في مبتدأ أمره يشتغل بالفقه على مذهب الشافعي بالجزيرة، ثم بحلب في الزجاجية، ثم إنه اتصل بخدمة شيركوه، وصار إمامه، وتوجه معه إلى مصر، وكان هو أحد الأسباب المعينة على سلطنة صلاح الدين مع الأمير بهاء الدين قراقوش الطواشي، فرعيت له هذه الخدمة، وأمره أسد الدين، واشتهر بقضاء الحوائج. وكان لا يكاد يدخل على صلاح الدين إلا ومعه أوراق أو قصص في عمامته ومنديله وكمه وفي يده فيكتب عليها. </w:t>
      </w:r>
    </w:p>
    <w:p/>
    <w:p>
      <w:pPr/>
      <w:r>
        <w:rPr/>
        <w:t xml:space="preserve">وأسر، وخلص من الفرنج بالقدس بستين ألف دينار. </w:t>
      </w:r>
    </w:p>
    <w:p/>
    <w:p>
      <w:pPr/>
      <w:r>
        <w:rPr/>
        <w:t xml:space="preserve">وتوفي في المخيم على (حصار) عكا. </w:t>
      </w:r>
    </w:p>
    <w:p/>
    <w:p>
      <w:pPr/>
      <w:r>
        <w:rPr/>
        <w:t xml:space="preserve">وتقدم له ذكر في ترجمة. </w:t>
      </w:r>
    </w:p>
    <w:p/>
    <w:p>
      <w:pPr/>
      <w:r>
        <w:rPr/>
        <w:t xml:space="preserve">وكانت وفاته سنة خمس وثمانين وخمسمائة. </w:t>
      </w:r>
    </w:p>
    <w:p/>
    <w:p>
      <w:pPr/>
      <w:r>
        <w:rPr/>
        <w:t xml:space="preserve">وقيل: وفاته بالخروبة في المخيم، وهو موضع بالقرب منه عكا، ثم نقل إلى القدس، ودفن بظاهرها، وكان يلبس زي الأجناد، ويعتم بعمائم الفقهاء فيجمع بين اللباسين. </w:t>
      </w:r>
    </w:p>
    <w:p/>
    <w:p>
      <w:pPr/>
      <w:r>
        <w:rPr/>
        <w:t xml:space="preserve">قال ابن خلكان: ورأيت أخاه مجد الدين عمر أيضا بهذه الصفة.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الهكاري
</w:t>
      </w:r>
    </w:p>
    <w:p>
      <w:pPr/>
      <w:r>
        <w:rPr/>
        <w:t xml:space="preserve">ضياء الدين الهكاري عيسى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عيسى الأمير ضياء الدين الهكاري الفقيه المحقق أبو محمد
</w:t>
      </w:r>
    </w:p>
    <w:p>
      <w:pPr/>
      <w:r>
        <w:rPr/>
        <w:t xml:space="preserve">عيسى بن محمد بن عيسى الأمير ضياء الدين الهكاري الفقيه المحقق أبو محمد أكبر أمراء الدولة الصلاحية</w:t>
      </w:r>
    </w:p>
    <w:p/>
    <w:p>
      <w:pPr/>
      <w:r>
        <w:rPr/>
        <w:t xml:space="preserve">تفقه بالجزيرة على الإمام أبي القاسم بن البزري ثم انتقل لحلب وسمع الحديث من الحافظين أبي طاهر السلفي وأبي القاسم ابن عساكر وحدث</w:t>
      </w:r>
    </w:p>
    <w:p/>
    <w:p>
      <w:pPr/>
      <w:r>
        <w:rPr/>
        <w:t xml:space="preserve">سمع منه القاضي محمد بن علي الأنصاري وغيره</w:t>
      </w:r>
    </w:p>
    <w:p/>
    <w:p>
      <w:pPr/>
      <w:r>
        <w:rPr/>
        <w:t xml:space="preserve">وكان من مبادي سعده أنه اتصل بخدمة الملك أسد الدين شيركوه وصار إمامه في الصلوات وتوجه معه إلى مصر وكان أحد الأسباب المعنية على سلطنة صلاح الدين بعد عمه فمن ثم رعى له السلطان هذه الخدمة وكان ذا شجاعه وشهامة فأمره أسد الدين</w:t>
      </w:r>
    </w:p>
    <w:p/>
    <w:p>
      <w:pPr/>
      <w:r>
        <w:rPr/>
        <w:t xml:space="preserve">ثم رفع صلاح الدين منزلته ونقله من إمرة إلى إمرة حتى صار أكبر أمراء الدولة وأسر مرة وخلص بستين ألف دينار</w:t>
      </w:r>
    </w:p>
    <w:p/>
    <w:p>
      <w:pPr/>
      <w:r>
        <w:rPr/>
        <w:t xml:space="preserve">توفي في ذي القعدة سنة خمس وثمانين وخمسمائة</w:t>
      </w:r>
    </w:p>
    <w:p/>
    <w:p>
      <w:pPr/>
      <w:r>
        <w:rPr/>
        <w:t xml:space="preserve">مات بمخيمة على حصار عكا وهو مجاهد للفرنج</w:t>
      </w:r>
    </w:p>
    <w:p>
      <w:pPr>
        <w:jc w:val="start"/>
        <w:bidi/>
      </w:pPr>
      <w:r>
        <w:rPr>
          <w:sz w:val="24"/>
          <w:szCs w:val="24"/>
          <w:b w:val="1"/>
          <w:bCs w:val="1"/>
          <w:rtl/>
        </w:rPr>
        <w:t xml:space="preserve">
طبقات الشافعية الكبرى،(دار هجر - القاهرة،1992،ط 2،ج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الأمير العالم ضياء الدين المكاري
</w:t>
      </w:r>
    </w:p>
    <w:p>
      <w:pPr/>
      <w:r>
        <w:rPr/>
        <w:t xml:space="preserve">عيسى بن محمد الأمير العالم ضياء الدين المكاري </w:t>
      </w:r>
    </w:p>
    <w:p/>
    <w:p>
      <w:pPr/>
      <w:r>
        <w:rPr/>
        <w:t xml:space="preserve">اشتغل على أبي القاسم التبريزى، ثم اتصل بالدولة وكان من المنتسبين في سلطنة صلاح الدين، وأسره الفرنج مرة وفدى بستين ألف دينار، مات سنة خمس وثمانين</w:t>
      </w:r>
    </w:p>
    <w:p/>
    <w:p>
      <w:pPr/>
      <w:r>
        <w:rPr/>
        <w:t xml:space="preserve">وخمسمائة، وهو مع السلطان في حصار عكا.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2026-06-26T17:37:24+03:00</dcterms:created>
  <dcterms:modified xsi:type="dcterms:W3CDTF">2026-06-26T17:37:24+03:00</dcterms:modified>
</cp:coreProperties>
</file>

<file path=docProps/custom.xml><?xml version="1.0" encoding="utf-8"?>
<Properties xmlns="http://schemas.openxmlformats.org/officeDocument/2006/custom-properties" xmlns:vt="http://schemas.openxmlformats.org/officeDocument/2006/docPropsVTypes"/>
</file>