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الدمنهوري
</w:t>
      </w:r>
    </w:p>
    <w:p>
      <w:pPr>
        <w:jc w:val="start"/>
        <w:bidi/>
      </w:pPr>
      <w:r>
        <w:rPr>
          <w:rFonts w:ascii="arial" w:hAnsi="arial" w:eastAsia="arial" w:cs="arial"/>
          <w:sz w:val="28"/>
          <w:szCs w:val="28"/>
          <w:b w:val="1"/>
          <w:bCs w:val="1"/>
          <w:rtl/>
        </w:rPr>
        <w:t xml:space="preserve">الدمنهوري
</w:t>
      </w:r>
    </w:p>
    <w:p>
      <w:pPr/>
      <w:r>
        <w:rPr/>
        <w:t xml:space="preserve">الدمنهوري  أحمد بن عبد المنعم بن يوسف بن صيام الدمنهوري: شيخ الجامع الازهر، واحد علماء مصر المكثرين من التصنيف في الفقه وغيره. كان يعرف بالمذاهبي لعلمه بالمذاهب الاربعة. ولد في دمنهور، وتعلم بالازهر، وولى مشيخته. وكان قوالا للحق هابته الامراء وقصدته الملوك. وتوفي بالقاهرة. من كتبه ’’نهاية التعريف بأقسام الحديث الضعيف - خ) و (ايضاح المهم من معاني السلم - ط) في المنطق، و (حلية اللب المصون بشرح الجوهر المكنون - ط) بلاغة، و (منتهى الارادات في تحقيق الاستعارات) و (سبيل الرشاد إلى نفع العباد - ط) مواعظ، و (الفتح الرباني بمفردات ابن حنبل الشيباني - خ) و (عين الحياة في استنباط المياه - خ) رسالة و (القول الصريح في علم التشريح) و (منهج السلوك في نصيحة الملوك) وغير ذلك. </w:t>
      </w:r>
    </w:p>
    <w:p>
      <w:pPr>
        <w:jc w:val="start"/>
        <w:bidi/>
      </w:pPr>
      <w:r>
        <w:rPr>
          <w:sz w:val="24"/>
          <w:szCs w:val="24"/>
          <w:b w:val="1"/>
          <w:bCs w:val="1"/>
          <w:rtl/>
        </w:rPr>
        <w:t xml:space="preserve">
الأعلام،(دار العلم للملايين - بيروت،2002،ط 15،ج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الدمنهوري
</w:t>
      </w:r>
    </w:p>
    <w:p>
      <w:pPr/>
      <w:r>
        <w:rPr/>
        <w:t xml:space="preserve">أحمد الدمنهوري أحمد بن عبد المنعم بن خيام الشافعي الحنفي المالكي الحنبلي هكذا كان يكتب بخطه المصري الشهير بالدمنهوري الشيخ الامام العلامة الأوحد آية الله الكبرى في العلوم والعرفان المفنن في جميع العلوم معقولا ومنقولا ابو المعارف شهاب الدين ولد في حدود التسعين والف ونشأ طالبا للعلوم فأخذ عن جملة من العلماء كالشهاب أحمد الحليفي وعبد ربه الديوي ومنصور المنوفي وعبد الجواد الميداني وعلي أبي الصفا الشنواني ومحمد الغمري وعبد الوهاب الشنواني وعبد الرؤف البشبيشي وعبد الجواد المرحومي وعبد الدائم الاجهوري ومحمد بن عبد العزيز الحنفي الزيادي وأحمد بن غانم النفرأوي المالكي ومحمد الورزازي وأحمد بن محمد الهشتركي ومحمد بن عبد الله السجلماسي والسيد محمد سلموني المالكي والشهاب أحمد المقدسي الحنبلي وكان عالما بالمذاهب الاربع أكثر من أهلها قرآءة وله اليد الطولى في سائر العلوم منها الكيمياء والأوفاق والهيئة والحكمة والطب وله في كل علم منها تآليف عديدة وتولى مشيخة الجامع الازهر بعد وفاة الشمس محمد الحفني وله من التأليف شرح على سلم الاخضري في المنطق وشرح على رسالة الاستعارات السمرقندية وشرح على أوفاق قلب القرآن وغير ذلك من التآليف وبالجملة فهو نسيج وحده في هذه الاعصار وكأنت وفاته سنة اثنين وتسعين ومائة والف.</w:t>
      </w:r>
    </w:p>
    <w:p>
      <w:pPr>
        <w:jc w:val="start"/>
        <w:bidi/>
      </w:pPr>
      <w:r>
        <w:rPr>
          <w:sz w:val="24"/>
          <w:szCs w:val="24"/>
          <w:b w:val="1"/>
          <w:bCs w:val="1"/>
          <w:rtl/>
        </w:rPr>
        <w:t xml:space="preserve">
سلك الدرر في أعيان القرن الثاني عشر،(دار البشائر الإسلامية / دار ابن حزم،1988،ط 3،ج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2026-07-02T11:51:32+03:00</dcterms:created>
  <dcterms:modified xsi:type="dcterms:W3CDTF">2026-07-02T11:51:32+03:00</dcterms:modified>
</cp:coreProperties>
</file>

<file path=docProps/custom.xml><?xml version="1.0" encoding="utf-8"?>
<Properties xmlns="http://schemas.openxmlformats.org/officeDocument/2006/custom-properties" xmlns:vt="http://schemas.openxmlformats.org/officeDocument/2006/docPropsVTypes"/>
</file>