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قعين
</w:t>
      </w:r>
    </w:p>
    <w:p>
      <w:pPr/>
      <w:r>
        <w:rPr/>
        <w:t xml:space="preserve">عمرو بن قعين  عمرو بن قعين بن الحارث، من أسد ابن خزيمة، من عدنان: جد جاهلي. كطان له من الولد طريف، وكعب، وعبد الله. ومن نسله طليحة بن خويلد المتنبئ.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2026-06-26T11:42:06+03:00</dcterms:created>
  <dcterms:modified xsi:type="dcterms:W3CDTF">2026-06-26T11:42:06+03:00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