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الأذعار
</w:t>
      </w:r>
    </w:p>
    <w:p>
      <w:pPr>
        <w:jc w:val="start"/>
        <w:bidi/>
      </w:pPr>
      <w:r>
        <w:rPr>
          <w:rFonts w:ascii="arial" w:hAnsi="arial" w:eastAsia="arial" w:cs="arial"/>
          <w:sz w:val="28"/>
          <w:szCs w:val="28"/>
          <w:b w:val="1"/>
          <w:bCs w:val="1"/>
          <w:rtl/>
        </w:rPr>
        <w:t xml:space="preserve">ذو الأذعار
</w:t>
      </w:r>
    </w:p>
    <w:p>
      <w:pPr/>
      <w:r>
        <w:rPr/>
        <w:t xml:space="preserve">ذو الأذعار  عمرو بن أبرهة ذي المنار بن الحارث الرئش، من حمير: أحد التبابعة، ملوك اليمن. ولى بعد أخيه العبد بن أبرهة. وهو معاصر لسليمان النبي، أو بعده بقليل. كان جبارا، ظلم الناس، فلقبوه بذي الأذعار. وثار في أيامه شرحبيل بن عمرو، فأنشأ دولة في (مأرب) انتقلت بالإرث إلى ابنه الهدهاد ثم إلى بلقيس. وضعفت بلقيس فجئ بها إلى ذي الأذعار، فقتلته بحيلة، في غمدان. وفي سيرته اختلاف في الروايات والأقاويل. </w:t>
      </w:r>
    </w:p>
    <w:p>
      <w:pPr>
        <w:jc w:val="start"/>
        <w:bidi/>
      </w:pPr>
      <w:r>
        <w:rPr>
          <w:sz w:val="24"/>
          <w:szCs w:val="24"/>
          <w:b w:val="1"/>
          <w:bCs w:val="1"/>
          <w:rtl/>
        </w:rPr>
        <w:t xml:space="preserve">
الأعلام،(دار العلم للملايين - بيروت،2002،ط 15،ج 5،ص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2026-06-26T06:44:05+03:00</dcterms:created>
  <dcterms:modified xsi:type="dcterms:W3CDTF">2026-06-26T06:44:05+03:00</dcterms:modified>
</cp:coreProperties>
</file>

<file path=docProps/custom.xml><?xml version="1.0" encoding="utf-8"?>
<Properties xmlns="http://schemas.openxmlformats.org/officeDocument/2006/custom-properties" xmlns:vt="http://schemas.openxmlformats.org/officeDocument/2006/docPropsVTypes"/>
</file>