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الحفصي
</w:t>
      </w:r>
    </w:p>
    <w:p>
      <w:pPr>
        <w:jc w:val="start"/>
        <w:bidi/>
      </w:pPr>
      <w:r>
        <w:rPr>
          <w:rFonts w:ascii="arial" w:hAnsi="arial" w:eastAsia="arial" w:cs="arial"/>
          <w:sz w:val="28"/>
          <w:szCs w:val="28"/>
          <w:b w:val="1"/>
          <w:bCs w:val="1"/>
          <w:rtl/>
        </w:rPr>
        <w:t xml:space="preserve">المستنصر الحفصي
</w:t>
      </w:r>
    </w:p>
    <w:p>
      <w:pPr/>
      <w:r>
        <w:rPr/>
        <w:t xml:space="preserve">المستنصر الحفصي  عمر بن يحيى بن عبد الواحد الحفصي الهنتاتي، أبو حفص، المستنصر الثاني: صاحب تونس، من ملوك الدولة الحفصية. كان مع أخيه إبراهيم بن يحيى حين تغلب الدعى ابن أبي عمارة على إفريقية، ونجا بعد مقتل إبراهيم وأبنائه، فرحل إلى قلعة سنان (بقرب تونس) وتسامع العرب به، فجاؤوه مبايعين (سنة 683هـ) فقاتل بهم المتغلب ابن أبي عمارة، واستعاد تونس. وقتل المتغلب في السنة نفسها، فالتفت عليه البلاد، وتلقب (المستنصر بالله) وهو ثاني أصحاب هذا اللقب من الحفصيين. وكان عاقلا شجاعا. توفى بتونس. </w:t>
      </w:r>
    </w:p>
    <w:p>
      <w:pPr>
        <w:jc w:val="start"/>
        <w:bidi/>
      </w:pPr>
      <w:r>
        <w:rPr>
          <w:sz w:val="24"/>
          <w:szCs w:val="24"/>
          <w:b w:val="1"/>
          <w:bCs w:val="1"/>
          <w:rtl/>
        </w:rPr>
        <w:t xml:space="preserve">
الأعلام،(دار العلم للملايين - بيروت،2002،ط 15،ج 5،ص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2026-06-26T05:58:17+03:00</dcterms:created>
  <dcterms:modified xsi:type="dcterms:W3CDTF">2026-06-26T05:58:17+03:00</dcterms:modified>
</cp:coreProperties>
</file>

<file path=docProps/custom.xml><?xml version="1.0" encoding="utf-8"?>
<Properties xmlns="http://schemas.openxmlformats.org/officeDocument/2006/custom-properties" xmlns:vt="http://schemas.openxmlformats.org/officeDocument/2006/docPropsVTypes"/>
</file>