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العلاء
</w:t>
      </w:r>
    </w:p>
    <w:p>
      <w:pPr>
        <w:jc w:val="start"/>
        <w:bidi/>
      </w:pPr>
      <w:r>
        <w:rPr>
          <w:rFonts w:ascii="arial" w:hAnsi="arial" w:eastAsia="arial" w:cs="arial"/>
          <w:sz w:val="28"/>
          <w:szCs w:val="28"/>
          <w:b w:val="1"/>
          <w:bCs w:val="1"/>
          <w:rtl/>
        </w:rPr>
        <w:t xml:space="preserve">عمر بن العلاء
</w:t>
      </w:r>
    </w:p>
    <w:p>
      <w:pPr/>
      <w:r>
        <w:rPr/>
        <w:t xml:space="preserve">عمر بن العلاء  عمر بن العلاء، من الموالي: عامل المهدي العباسي على طبرستان، ومن كبار قواده. كان جوادا حازما، وفيه يقول بشار:</w:t>
      </w:r>
    </w:p>
    <w:p/>
    <w:p>
      <w:pPr>
        <w:jc w:val="center"/>
      </w:pPr>
      <w:r>
        <w:rPr>
          <w:color w:val="ff0000"/>
        </w:rPr>
        <w:t xml:space="preserve">إذا أرقتك جسام الأمور</w:t>
      </w:r>
      <w:r>
        <w:rPr>
          <w:color w:val="ff0000"/>
        </w:rPr>
        <w:t xml:space="preserve">      </w:t>
      </w:r>
      <w:r>
        <w:rPr>
          <w:color w:val="ff0000"/>
        </w:rPr>
        <w:t xml:space="preserve">فنبه لها عمرا ثم نم</w:t>
      </w:r>
    </w:p>
    <w:p/>
    <w:p>
      <w:pPr/>
      <w:r>
        <w:rPr/>
        <w:t xml:space="preserve">قال البلاذري: كان ابن العلاء (جزارا) من أهل الري، وجمع جمعا، وقاتل (سنفاذ) حين خرج بطبرستان، في أيام المنصور، فأبلى البلاء الحسن، فأوفده جمهور بن مرار العجلي على المنصور، فجعله في جملة القواد، وحضنه. ثم إنه ولى طبرستان، واستشهد بها في خلافة المهدي.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2026-06-26T02:49:33+03:00</dcterms:created>
  <dcterms:modified xsi:type="dcterms:W3CDTF">2026-06-26T02:49:33+03:00</dcterms:modified>
</cp:coreProperties>
</file>

<file path=docProps/custom.xml><?xml version="1.0" encoding="utf-8"?>
<Properties xmlns="http://schemas.openxmlformats.org/officeDocument/2006/custom-properties" xmlns:vt="http://schemas.openxmlformats.org/officeDocument/2006/docPropsVTypes"/>
</file>