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المريني
</w:t>
      </w:r>
    </w:p>
    <w:p>
      <w:pPr>
        <w:jc w:val="start"/>
        <w:bidi/>
      </w:pPr>
      <w:r>
        <w:rPr>
          <w:rFonts w:ascii="arial" w:hAnsi="arial" w:eastAsia="arial" w:cs="arial"/>
          <w:sz w:val="28"/>
          <w:szCs w:val="28"/>
          <w:b w:val="1"/>
          <w:bCs w:val="1"/>
          <w:rtl/>
        </w:rPr>
        <w:t xml:space="preserve">المريني
</w:t>
      </w:r>
    </w:p>
    <w:p>
      <w:pPr/>
      <w:r>
        <w:rPr/>
        <w:t xml:space="preserve">المريني  عمر بن أبي بكر (وكنيته أبو يحيى) بن عبد الحق المريني: أبو حفص: من أمراء الدولة المرينية في المغرب الأقصى. بويع بفاس بعد وفاة أبيه (سنة 656) ولم يلبث أن تغلب عليه عمه يعقوب بن عبد الحق، فنزل عن الإمارة. وأقطعه عمه مدينة مكناسة فرحل إليها وتولاها. وقتله بعض أقربائه اغتيالا. </w:t>
      </w:r>
    </w:p>
    <w:p>
      <w:pPr>
        <w:jc w:val="start"/>
        <w:bidi/>
      </w:pPr>
      <w:r>
        <w:rPr>
          <w:sz w:val="24"/>
          <w:szCs w:val="24"/>
          <w:b w:val="1"/>
          <w:bCs w:val="1"/>
          <w:rtl/>
        </w:rPr>
        <w:t xml:space="preserve">
الأعلام،(دار العلم للملايين - بيروت،2002،ط 15،ج 5،ص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2026-06-26T00:32:45+03:00</dcterms:created>
  <dcterms:modified xsi:type="dcterms:W3CDTF">2026-06-26T00:32:45+03:00</dcterms:modified>
</cp:coreProperties>
</file>

<file path=docProps/custom.xml><?xml version="1.0" encoding="utf-8"?>
<Properties xmlns="http://schemas.openxmlformats.org/officeDocument/2006/custom-properties" xmlns:vt="http://schemas.openxmlformats.org/officeDocument/2006/docPropsVTypes"/>
</file>