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الصنهاجي
</w:t>
      </w:r>
    </w:p>
    <w:p>
      <w:pPr>
        <w:jc w:val="start"/>
        <w:bidi/>
      </w:pPr>
      <w:r>
        <w:rPr>
          <w:rFonts w:ascii="arial" w:hAnsi="arial" w:eastAsia="arial" w:cs="arial"/>
          <w:sz w:val="28"/>
          <w:szCs w:val="28"/>
          <w:b w:val="1"/>
          <w:bCs w:val="1"/>
          <w:rtl/>
        </w:rPr>
        <w:t xml:space="preserve">الصنهاجي
</w:t>
      </w:r>
    </w:p>
    <w:p>
      <w:pPr/>
      <w:r>
        <w:rPr/>
        <w:t xml:space="preserve">الصنهاجي  علي بن يحيى بن تميم بن المعز الصنهاجي: صاحب إفريقية. وليها بعد وفاة أبيه (سنة 509هـ) وكان في سفاقس، فقدم المهدية في اليوم الثاني، وأقام فيها. وكانت تونس في يد أحد الأمراء، فاستردها علي منه. وتوالت الفتن بينه وبين الأعراب، فكانت حاله معهم كحال أبيه وجده من قبله. واشتد مابينه وبين روجر الثاني Roger II (صاحب صقلية) فأعد عدته ليهاجم صقلية، فعاجلته المنية. وكان شجاعا حازما. </w:t>
      </w:r>
    </w:p>
    <w:p>
      <w:pPr>
        <w:jc w:val="start"/>
        <w:bidi/>
      </w:pPr>
      <w:r>
        <w:rPr>
          <w:sz w:val="24"/>
          <w:szCs w:val="24"/>
          <w:b w:val="1"/>
          <w:bCs w:val="1"/>
          <w:rtl/>
        </w:rPr>
        <w:t xml:space="preserve">
الأعلام،(دار العلم للملايين - بيروت،2002،ط 15،ج 5،ص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2026-06-25T22:40:51+03:00</dcterms:created>
  <dcterms:modified xsi:type="dcterms:W3CDTF">2026-06-25T22:40:51+03:00</dcterms:modified>
</cp:coreProperties>
</file>

<file path=docProps/custom.xml><?xml version="1.0" encoding="utf-8"?>
<Properties xmlns="http://schemas.openxmlformats.org/officeDocument/2006/custom-properties" xmlns:vt="http://schemas.openxmlformats.org/officeDocument/2006/docPropsVTypes"/>
</file>