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قتيبة
</w:t>
      </w:r>
    </w:p>
    <w:p>
      <w:pPr>
        <w:jc w:val="start"/>
        <w:bidi/>
      </w:pPr>
      <w:r>
        <w:rPr>
          <w:rFonts w:ascii="arial" w:hAnsi="arial" w:eastAsia="arial" w:cs="arial"/>
          <w:sz w:val="28"/>
          <w:szCs w:val="28"/>
          <w:b w:val="1"/>
          <w:bCs w:val="1"/>
          <w:rtl/>
        </w:rPr>
        <w:t xml:space="preserve">ابن قتيبة
</w:t>
      </w:r>
    </w:p>
    <w:p>
      <w:pPr/>
      <w:r>
        <w:rPr/>
        <w:t xml:space="preserve">ابن قتيبة  أحمد بن عبد الله بن مسلم بن قتيبة الدينوري، أبو جعفر: قاض، من أهل بغداد، له اشتغال بالادب والكتابة. كان يحفظ كتب ابيه وهي 21 كتابا في غريب القرآن والحديث والادب والاخبار. ولى القضاء بمصر سنة 321 هـ ، فجاءها، وعرف فضله فيها فأقبل عليه طلاب العلوم والاداب. ويرجح ’’الكندي’’ انه عزل بعد ثلاثة اشهر من ولايته. ويقول اكثر مؤرخيه انه مات وهو على القضاء. وفاته بمصر.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قتيبة
</w:t>
      </w:r>
    </w:p>
    <w:p>
      <w:pPr/>
      <w:r>
        <w:rPr/>
        <w:t xml:space="preserve">ابن قتيبة قاضي القضاة بمصر، أبو جعفر أحمد بن عبد الله بن مسلم بن قتيبة البغدادي، الكاتب.</w:t>
      </w:r>
    </w:p>
    <w:p/>
    <w:p>
      <w:pPr/>
      <w:r>
        <w:rPr/>
        <w:t xml:space="preserve">حدث عن: أبيه بكتبه كلها حفظا.</w:t>
      </w:r>
    </w:p>
    <w:p/>
    <w:p>
      <w:pPr/>
      <w:r>
        <w:rPr/>
        <w:t xml:space="preserve">حدث عنه: عبد الرحمن بن إسحاق الزجاجي، وابنه؛ عبد الواحد بن أحمد، وولي قضاء مصر، فمات بها.</w:t>
      </w:r>
    </w:p>
    <w:p/>
    <w:p>
      <w:pPr/>
      <w:r>
        <w:rPr/>
        <w:t xml:space="preserve">قال يوسف بن يعقوب بن خرزاذ: إن أبا جعفر حدث بكتب أبيه كلها بمصر من حفظه، ولم يكن معه كتاب، ومات في شهر ربيع الأول، سنة اثنتين وعشرين وثلاث مائة، وبقي في القضاء شهرين ونصف ’’شهر’’، وعزل، فوثبت به الرعية، وشتموه، وولي بعده أحمد بن إبراهيم بن حماد.</w:t>
      </w:r>
    </w:p>
    <w:p/>
    <w:p>
      <w:pPr/>
      <w:r>
        <w:rPr/>
        <w:t xml:space="preserve">قال المسبحي: كان يحفظ كتب أبيه كلها بالنقط والشكل كما يحفظ القرآن، وهي أحد وعشرون مصنفا، فلما سمع بذلك أهل الأدب والعلم، جاؤوه، وجاءه أولاد الملوك، فأخذوا عنه.</w:t>
      </w:r>
    </w:p>
    <w:p/>
    <w:p>
      <w:pPr/>
      <w:r>
        <w:rPr/>
        <w:t xml:space="preserve">وقال ابن زولاق: كان مالكيا، شيخا حادا، أذكر أن أباه حفظه كتبه في اللوح.</w:t>
      </w:r>
    </w:p>
    <w:p/>
    <w:p>
      <w:pPr/>
      <w:r>
        <w:rPr/>
        <w:t xml:space="preserve">وفيها مات صالح بن الحافظ أحمد بن عبد الله بن صالح العجلي، وأبو جعفر محمد بن عمرو العقيلي، وأبو جعفر محمد بن إبراهيم الديبلي.</w:t>
      </w:r>
    </w:p>
    <w:p>
      <w:pPr>
        <w:jc w:val="start"/>
        <w:bidi/>
      </w:pPr>
      <w:r>
        <w:rPr>
          <w:sz w:val="24"/>
          <w:szCs w:val="24"/>
          <w:b w:val="1"/>
          <w:bCs w:val="1"/>
          <w:rtl/>
        </w:rPr>
        <w:t xml:space="preserve">
سير أعلام النبلاء،(دار الحديث- القاهرة،2006،ط 0،ج 11،ص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2026-07-27T08:21:50+03:00</dcterms:created>
  <dcterms:modified xsi:type="dcterms:W3CDTF">2026-07-27T08:21:50+03:00</dcterms:modified>
</cp:coreProperties>
</file>

<file path=docProps/custom.xml><?xml version="1.0" encoding="utf-8"?>
<Properties xmlns="http://schemas.openxmlformats.org/officeDocument/2006/custom-properties" xmlns:vt="http://schemas.openxmlformats.org/officeDocument/2006/docPropsVTypes"/>
</file>