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جهير
</w:t>
      </w:r>
    </w:p>
    <w:p>
      <w:pPr>
        <w:jc w:val="start"/>
        <w:bidi/>
      </w:pPr>
      <w:r>
        <w:rPr>
          <w:rFonts w:ascii="arial" w:hAnsi="arial" w:eastAsia="arial" w:cs="arial"/>
          <w:sz w:val="28"/>
          <w:szCs w:val="28"/>
          <w:b w:val="1"/>
          <w:bCs w:val="1"/>
          <w:rtl/>
        </w:rPr>
        <w:t xml:space="preserve">ابن جهير
</w:t>
      </w:r>
    </w:p>
    <w:p>
      <w:pPr/>
      <w:r>
        <w:rPr/>
        <w:t xml:space="preserve">ابن جهير  علي بن محمد بن محمد بن جهير، أبو القاسم، زعيم الدين: وزير ابن وزير. كان في أيام القائم العباسي وبعد أيام المقتدي، متوليا كتابه ديوان (الزمام) ووزر للخليفة المستظهر مرتين، أقام فيهما نحو عشر سنين. وكان سديد الرأي حسن التدبير.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 الرؤساء ابن جهير
</w:t>
      </w:r>
    </w:p>
    <w:p>
      <w:pPr/>
      <w:r>
        <w:rPr/>
        <w:t xml:space="preserve">زعيم الرؤساء ابن جهير علي بن محمد بن محمد بن جهير، أبو القاسم بن أبي نصر، الوزير زعيم الرؤساء، أخو الوزير عميد الدولة. ولي النظر بديوان الزمام بعد وفاة محمد بن أحمد بن حميلة صاحب الديوان. فنظر فيه أربع عشرة سنة إلى أن عزله المقتدي. ونظر بعد وفاة والده في الموصل وديار ربيعة، ثم ورد العراق في وزارة أخيه أبي منصور، ووزر للمستظهر بالله ثلاث سنين وخمسة أشهر وأياما. ونفذ سيف الدولة من أخذه وأعاده إلى الحلة، فأقام إلى أن قتل سيف الدولة، فاستدعاه السلطان محمد، ووزر له إلى أن توفي سنة ثمان وخمس مائة. وكان معروفا بالحلم والرزانة وجودة الرأي والتدبير وحسن التأتي.</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2026-06-24T12:50:36+03:00</dcterms:created>
  <dcterms:modified xsi:type="dcterms:W3CDTF">2026-06-24T12:50:36+03:00</dcterms:modified>
</cp:coreProperties>
</file>

<file path=docProps/custom.xml><?xml version="1.0" encoding="utf-8"?>
<Properties xmlns="http://schemas.openxmlformats.org/officeDocument/2006/custom-properties" xmlns:vt="http://schemas.openxmlformats.org/officeDocument/2006/docPropsVTypes"/>
</file>