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الترمانيني
</w:t>
      </w:r>
    </w:p>
    <w:p>
      <w:pPr>
        <w:jc w:val="start"/>
        <w:bidi/>
      </w:pPr>
      <w:r>
        <w:rPr>
          <w:rFonts w:ascii="arial" w:hAnsi="arial" w:eastAsia="arial" w:cs="arial"/>
          <w:sz w:val="28"/>
          <w:szCs w:val="28"/>
          <w:b w:val="1"/>
          <w:bCs w:val="1"/>
          <w:rtl/>
        </w:rPr>
        <w:t xml:space="preserve">الترمانيني
</w:t>
      </w:r>
    </w:p>
    <w:p>
      <w:pPr/>
      <w:r>
        <w:rPr/>
        <w:t xml:space="preserve">الترمانيني  أحمد بن عبد الكريم بن عيسى بن أحمد نعمة الله الترمانيني: فاضل حلبي. ولد في ترمانين (من قرى حلب) وتعلم بالازهر، وتصدر للافتاء والتدريس بحلب إلى ان توفي فيها. كان جهوري الصوت فصيحا زاهدا عابدا، حسن الطريقة في التعليم، يؤلف في كل شيئ يرى فيه صعوبة على الطلبة كتابا ييسر لهم فهمه. من كتبه (الهبات الربانية - خ) في المنطق، و (هداية الانام في توريث ذوي الارحام) و (تلخيص العبارات الرائقة) حاشية على البيضاوي في التفسير، و (حاشية) على تفسير الجلالين، و (الجامع) في الكيمياء، كبير، و (شرح تائية السبكي في المغازي - خ) و غير ذلك. </w:t>
      </w:r>
    </w:p>
    <w:p>
      <w:pPr>
        <w:jc w:val="start"/>
        <w:bidi/>
      </w:pPr>
      <w:r>
        <w:rPr>
          <w:sz w:val="24"/>
          <w:szCs w:val="24"/>
          <w:b w:val="1"/>
          <w:bCs w:val="1"/>
          <w:rtl/>
        </w:rPr>
        <w:t xml:space="preserve">
الأعلام،(دار العلم للملايين - بيروت،2002،ط 15،ج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2026-07-02T10:13:13+03:00</dcterms:created>
  <dcterms:modified xsi:type="dcterms:W3CDTF">2026-07-02T10:13:13+03:00</dcterms:modified>
</cp:coreProperties>
</file>

<file path=docProps/custom.xml><?xml version="1.0" encoding="utf-8"?>
<Properties xmlns="http://schemas.openxmlformats.org/officeDocument/2006/custom-properties" xmlns:vt="http://schemas.openxmlformats.org/officeDocument/2006/docPropsVTypes"/>
</file>