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المنصور
</w:t>
      </w:r>
    </w:p>
    <w:p>
      <w:pPr>
        <w:jc w:val="start"/>
        <w:bidi/>
      </w:pPr>
      <w:r>
        <w:rPr>
          <w:rFonts w:ascii="arial" w:hAnsi="arial" w:eastAsia="arial" w:cs="arial"/>
          <w:sz w:val="28"/>
          <w:szCs w:val="28"/>
          <w:b w:val="1"/>
          <w:bCs w:val="1"/>
          <w:rtl/>
        </w:rPr>
        <w:t xml:space="preserve">علي المنصور
</w:t>
      </w:r>
    </w:p>
    <w:p>
      <w:pPr/>
      <w:r>
        <w:rPr/>
        <w:t xml:space="preserve">علي المنصور  علي (الملك المنصور) ابن شعبان (الملك الأشرف) ابن حسين بن محمد بن قلاوون: من سلاطين الدولة القلاوونية بمصر والشام. بويع له بمصر، وهو طفل، يوم ثورة المماليك على أبيه في العقبة (وكان أبوه في طريقه إلى الحجاز حاجا) وتمت له البيعة بعد مقتل أبيه (سنة 778هـ) وقام مماليكه بتدبير الشؤون، فاختلفوا واقتتلوا وانحصرت الرياسة بالأمير (أينبك) البدري، وسمى (أتابكا) للعساكر، فلم يرضهم، فقاتلوه وأسروه، وأقيم المقر السيفي (برقوق) العثماني أتابكا. وتتابعت فتن المماليك (أمراء الجيش) بمصر يقتل بعضهم بعضا، وخرج نائب السلطنة في دمشق عن الطاعة، وهجم خمسة آلاف من الأعراب على دمنهور فنهبوها، وانتشر الوباء بمصر فأصيب (علي) المنصور فمات في الثانية عشرة من عمره، ولم يكن في يده من الأمر شئ، كأكثر ملوك هذه الدولة.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2026-06-26T08:50:03+03:00</dcterms:created>
  <dcterms:modified xsi:type="dcterms:W3CDTF">2026-06-26T08:50:03+03:00</dcterms:modified>
</cp:coreProperties>
</file>

<file path=docProps/custom.xml><?xml version="1.0" encoding="utf-8"?>
<Properties xmlns="http://schemas.openxmlformats.org/officeDocument/2006/custom-properties" xmlns:vt="http://schemas.openxmlformats.org/officeDocument/2006/docPropsVTypes"/>
</file>