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الجندي
</w:t>
      </w:r>
    </w:p>
    <w:p>
      <w:pPr>
        <w:jc w:val="start"/>
        <w:bidi/>
      </w:pPr>
      <w:r>
        <w:rPr>
          <w:rFonts w:ascii="arial" w:hAnsi="arial" w:eastAsia="arial" w:cs="arial"/>
          <w:sz w:val="28"/>
          <w:szCs w:val="28"/>
          <w:b w:val="1"/>
          <w:bCs w:val="1"/>
          <w:rtl/>
        </w:rPr>
        <w:t xml:space="preserve">الجندي
</w:t>
      </w:r>
    </w:p>
    <w:p>
      <w:pPr/>
      <w:r>
        <w:rPr/>
        <w:t xml:space="preserve">الجندي  علي بن السيد الجندي: شاعر مصري من علماء الأدب. ولد في شندويل (بسوهاج) وتخرج بكلية دار العلوم في القاهرة (1925) وصار عميدا لها (1950) ومن أعضاء المجمع اللغوي ومجلس الفنون والآداب بمصر. وعمل في التدريس. وتوفي بالقاهرة. له خمسة دواوين شعرية ونحو 30 مؤلفا في الأدب، منها المطبوعات الآتية: (أغاريد السحر) شعر، و (ألحان الأصيل) شعر، و (ترانيم الليل) شعر، و (شعر الحرب) و (فن التشبيه) و (أدب الربيع) و (خمسة أيام في دمشق الفيحاء) و (سياسة النساء) و (البلاغة الفتية) و (الشعراء وإنشاد الشعر) وطبع بعد وفاته (مناهل الصفاء للنفوس الظماء). </w:t>
      </w:r>
    </w:p>
    <w:p>
      <w:pPr>
        <w:jc w:val="start"/>
        <w:bidi/>
      </w:pPr>
      <w:r>
        <w:rPr>
          <w:sz w:val="24"/>
          <w:szCs w:val="24"/>
          <w:b w:val="1"/>
          <w:bCs w:val="1"/>
          <w:rtl/>
        </w:rPr>
        <w:t xml:space="preserve">
الأعلام،(دار العلم للملايين - بيروت،2002،ط 15،ج 4،ص 293)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2026-06-25T06:47:39+03:00</dcterms:created>
  <dcterms:modified xsi:type="dcterms:W3CDTF">2026-06-25T06:47:39+03:00</dcterms:modified>
</cp:coreProperties>
</file>

<file path=docProps/custom.xml><?xml version="1.0" encoding="utf-8"?>
<Properties xmlns="http://schemas.openxmlformats.org/officeDocument/2006/custom-properties" xmlns:vt="http://schemas.openxmlformats.org/officeDocument/2006/docPropsVTypes"/>
</file>