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سودون
</w:t>
      </w:r>
    </w:p>
    <w:p>
      <w:pPr>
        <w:jc w:val="start"/>
        <w:bidi/>
      </w:pPr>
      <w:r>
        <w:rPr>
          <w:rFonts w:ascii="arial" w:hAnsi="arial" w:eastAsia="arial" w:cs="arial"/>
          <w:sz w:val="28"/>
          <w:szCs w:val="28"/>
          <w:b w:val="1"/>
          <w:bCs w:val="1"/>
          <w:rtl/>
        </w:rPr>
        <w:t xml:space="preserve">ابن سودون
</w:t>
      </w:r>
    </w:p>
    <w:p>
      <w:pPr/>
      <w:r>
        <w:rPr/>
        <w:t xml:space="preserve">ابن سودون  علي بن سودون الجركسي البشبغاوي (أو اليشبغاوي) القاهري، ثم الدمشقي، أبو الحسن: أديب، فكه. ولد وتعلم بالقاهرة. ونعته ابن العماد بالامام العلامة. وقال السخاوي: شارك مشاركة جيدة في فنون، وحج مرارا، وسافر في بعض الغزوات، وأم ببعض المساجد، ولكنه سلك في أكثر شعره طريقة هي غاية في المجون والهزل والخلاعة، فراج أمره فيها جدا. ورحل إلى دمشق، فتعاطى فيها (خيال الظل) وتوفي بها. له كتب، منها (نزهة النفوس ومضحك العبوس - ط) و (قرة الناظر ونزهة الخاطر - خ) وله (مقامتان - خ). </w:t>
      </w:r>
    </w:p>
    <w:p>
      <w:pPr>
        <w:jc w:val="start"/>
        <w:bidi/>
      </w:pPr>
      <w:r>
        <w:rPr>
          <w:sz w:val="24"/>
          <w:szCs w:val="24"/>
          <w:b w:val="1"/>
          <w:bCs w:val="1"/>
          <w:rtl/>
        </w:rPr>
        <w:t xml:space="preserve">
الأعلام،(دار العلم للملايين - بيروت،2002،ط 15،ج 4،ص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2026-06-26T09:19:32+03:00</dcterms:created>
  <dcterms:modified xsi:type="dcterms:W3CDTF">2026-06-26T09:19:32+03:00</dcterms:modified>
</cp:coreProperties>
</file>

<file path=docProps/custom.xml><?xml version="1.0" encoding="utf-8"?>
<Properties xmlns="http://schemas.openxmlformats.org/officeDocument/2006/custom-properties" xmlns:vt="http://schemas.openxmlformats.org/officeDocument/2006/docPropsVTypes"/>
</file>