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شيخ التربة
</w:t>
      </w:r>
    </w:p>
    <w:p>
      <w:pPr>
        <w:jc w:val="start"/>
        <w:bidi/>
      </w:pPr>
      <w:r>
        <w:rPr>
          <w:rFonts w:ascii="arial" w:hAnsi="arial" w:eastAsia="arial" w:cs="arial"/>
          <w:sz w:val="28"/>
          <w:szCs w:val="28"/>
          <w:b w:val="1"/>
          <w:bCs w:val="1"/>
          <w:rtl/>
        </w:rPr>
        <w:t xml:space="preserve">شيخ التربة
</w:t>
      </w:r>
    </w:p>
    <w:p>
      <w:pPr/>
      <w:r>
        <w:rPr/>
        <w:t xml:space="preserve">شيخ التربة  علي دده بن مصطفى الموستاري ثم السكتواري، علاء الدين الملقب بشيخ التربة: فاضل بوسنوي. ولد في بلدة (موستار) وتعلم بها ثم في استانبول. وقام بسياحة، فحج وزار مرات. ثم لما فتح السلطان سليمان العثماني قلعة (سكتوار) من بلاد المجر، ومات بها. ودفنوا أمعاءه عند القلعة، أقيم علاء الدين شيخا لتربته، فلقب بشيخ التربة. وتوفي عائدا من غزوة، فنقل إلى (سكتوار) ودفن بها. له كتب بالعربية، منها (محاضرة الأوائل ومسامرة الأواخر - ط) و (خواتم الحكم - ط) ألفه في الحرم المكي سنة 1001هـ ، و (تمكين المقام في المسجد الحرام - خ). </w:t>
      </w:r>
    </w:p>
    <w:p>
      <w:pPr>
        <w:jc w:val="start"/>
        <w:bidi/>
      </w:pPr>
      <w:r>
        <w:rPr>
          <w:sz w:val="24"/>
          <w:szCs w:val="24"/>
          <w:b w:val="1"/>
          <w:bCs w:val="1"/>
          <w:rtl/>
        </w:rPr>
        <w:t xml:space="preserve">
الأعلام،(دار العلم للملايين - بيروت،2002،ط 15،ج 4،ص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2026-06-24T04:18:26+03:00</dcterms:created>
  <dcterms:modified xsi:type="dcterms:W3CDTF">2026-06-24T04:18:26+03:00</dcterms:modified>
</cp:coreProperties>
</file>

<file path=docProps/custom.xml><?xml version="1.0" encoding="utf-8"?>
<Properties xmlns="http://schemas.openxmlformats.org/officeDocument/2006/custom-properties" xmlns:vt="http://schemas.openxmlformats.org/officeDocument/2006/docPropsVTypes"/>
</file>