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عمران
</w:t>
      </w:r>
    </w:p>
    <w:p>
      <w:pPr>
        <w:jc w:val="start"/>
        <w:bidi/>
      </w:pPr>
      <w:r>
        <w:rPr>
          <w:rFonts w:ascii="arial" w:hAnsi="arial" w:eastAsia="arial" w:cs="arial"/>
          <w:sz w:val="28"/>
          <w:szCs w:val="28"/>
          <w:b w:val="1"/>
          <w:bCs w:val="1"/>
          <w:rtl/>
        </w:rPr>
        <w:t xml:space="preserve">ابن عمران
</w:t>
      </w:r>
    </w:p>
    <w:p>
      <w:pPr/>
      <w:r>
        <w:rPr/>
        <w:t xml:space="preserve">ابن عمران  عقيل بن عمر (المشتهر بعمران) ابن عبد الله بن علي، ابن أبي المواهب الظفاري اليماني: فقيه مولده في الرباط، من قرى ظفار الحبوظي: قرأ في ظفار. وقام بسياحات في اليمن وحضرموت. وتصوف ورحل إلى مكة (1033) وإلى المدينة، وأخذ عن علمائهما. ورجع إلى ظفار فأقرأ التنوير لابن عطاء الله (سنة 1051) وصنف كتبا، منها (العقيدة) وهي منظومة شرحها الشيخ أحمد بن محمد القشاشي، و (فتح الكريم الغافر) شرح قصيدة مطلعها: (لما بدت لي حلية المسافر) و (منتخب الزهر والثمر في غريب الحديث والأثر - خ) رسالة في خزانة الرباط (1778ك) وله نظم أكثره على طريقة الصوفية توفي بظفار. </w:t>
      </w:r>
    </w:p>
    <w:p>
      <w:pPr>
        <w:jc w:val="start"/>
        <w:bidi/>
      </w:pPr>
      <w:r>
        <w:rPr>
          <w:sz w:val="24"/>
          <w:szCs w:val="24"/>
          <w:b w:val="1"/>
          <w:bCs w:val="1"/>
          <w:rtl/>
        </w:rPr>
        <w:t xml:space="preserve">
الأعلام،(دار العلم للملايين - بيروت،2002،ط 15،ج 4،ص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2026-06-23T17:02:27+03:00</dcterms:created>
  <dcterms:modified xsi:type="dcterms:W3CDTF">2026-06-23T17:02:27+03:00</dcterms:modified>
</cp:coreProperties>
</file>

<file path=docProps/custom.xml><?xml version="1.0" encoding="utf-8"?>
<Properties xmlns="http://schemas.openxmlformats.org/officeDocument/2006/custom-properties" xmlns:vt="http://schemas.openxmlformats.org/officeDocument/2006/docPropsVTypes"/>
</file>