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الدشنائي
</w:t>
      </w:r>
    </w:p>
    <w:p>
      <w:pPr>
        <w:jc w:val="start"/>
        <w:bidi/>
      </w:pPr>
      <w:r>
        <w:rPr>
          <w:rFonts w:ascii="arial" w:hAnsi="arial" w:eastAsia="arial" w:cs="arial"/>
          <w:sz w:val="28"/>
          <w:szCs w:val="28"/>
          <w:b w:val="1"/>
          <w:bCs w:val="1"/>
          <w:rtl/>
        </w:rPr>
        <w:t xml:space="preserve">الدشنائي
</w:t>
      </w:r>
    </w:p>
    <w:p>
      <w:pPr/>
      <w:r>
        <w:rPr/>
        <w:t xml:space="preserve">الدشنائي أحمد بن عبد الرحمن بن محمد الكندي الدشنائي، جلال الدين، ويعرف بابن بنت الحميري: فقيه شافعي، انتهت اليه الرياسة في الفتوى و التدريس بقوص (في صعيد مصر) و توفي بها، مولده بدشني. له (مناسك الحج) و (مقدمة في النحو) و (مختصر في اصول الفقه).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الكندي الشيخ جلال الدين الدشناوي
</w:t>
      </w:r>
    </w:p>
    <w:p>
      <w:pPr/>
      <w:r>
        <w:rPr/>
        <w:t xml:space="preserve">أحمد بن عبد الرحمن بن محمد الكندي الشيخ جلال الدين الدشناوي كان إماما عالما فقيها أصوليا زاهدا ورعا</w:t>
      </w:r>
    </w:p>
    <w:p/>
    <w:p>
      <w:pPr/>
      <w:r>
        <w:rPr/>
        <w:t xml:space="preserve">ولد سنة خمس عشرة وستمائة بدشنا من صعيد مصر وسمع الحديث من الفقيه بهاء الدين ابن الجميزي والحافظ عبد العظيم المنذري والشيخ مجد الدين القشيري والشيخ عز الدين بن عبد السلام</w:t>
      </w:r>
    </w:p>
    <w:p/>
    <w:p>
      <w:pPr/>
      <w:r>
        <w:rPr/>
        <w:t xml:space="preserve">تفقه وتأصل وقرأ الأصول على الشيخ شمس الدين الأصفهاني شارح المحصول حين كان حاكما بقوص وقرأ النحو على الشيخ شرف الدين المرسي</w:t>
      </w:r>
    </w:p>
    <w:p/>
    <w:p>
      <w:pPr/>
      <w:r>
        <w:rPr/>
        <w:t xml:space="preserve">وحدث سمع منه شيخنا شمس الدين بن القماح وغيره وانتهت إليه رياسة المذهب بمدينة قوص وتفقه عليه خلائق</w:t>
      </w:r>
    </w:p>
    <w:p/>
    <w:p>
      <w:pPr/>
      <w:r>
        <w:rPr/>
        <w:t xml:space="preserve">وحكي أن النصير بن الطباخ المشهور بالفقيه قال للشيخ عز الدين بن عبد السلام ما أظن في الصعيد مثل هذين الشابين يعني الشيخ تقي الدين ابن دقيق العيد والشيخ جلال الدين الدشناوي فقال له ابن عبد السلام ولا في المدينتين وصنف الشيخ جلال الدين شرحا على التنبيه وصل فيه إلى الصيام ومناسك ومقدمة في النحو</w:t>
      </w:r>
    </w:p>
    <w:p/>
    <w:p>
      <w:pPr/>
      <w:r>
        <w:rPr/>
        <w:t xml:space="preserve">وله شعر متوسط منه هذا</w:t>
      </w:r>
    </w:p>
    <w:p/>
    <w:p>
      <w:pPr>
        <w:jc w:val="center"/>
      </w:pPr>
      <w:r>
        <w:rPr>
          <w:color w:val="ff0000"/>
        </w:rPr>
        <w:t xml:space="preserve">يا لائمي كف عن ملامي</w:t>
      </w:r>
      <w:r>
        <w:rPr>
          <w:color w:val="ff0000"/>
        </w:rPr>
        <w:t xml:space="preserve">      </w:t>
      </w:r>
      <w:r>
        <w:rPr>
          <w:color w:val="ff0000"/>
        </w:rPr>
        <w:t xml:space="preserve">عن انعزالي عن الأنام</w:t>
      </w:r>
    </w:p>
    <w:p/>
    <w:p>
      <w:pPr>
        <w:jc w:val="center"/>
      </w:pPr>
      <w:r>
        <w:rPr>
          <w:color w:val="ff0000"/>
        </w:rPr>
        <w:t xml:space="preserve">إن نذيري الذي نهاني</w:t>
      </w:r>
      <w:r>
        <w:rPr>
          <w:color w:val="ff0000"/>
        </w:rPr>
        <w:t xml:space="preserve">      </w:t>
      </w:r>
      <w:r>
        <w:rPr>
          <w:color w:val="ff0000"/>
        </w:rPr>
        <w:t xml:space="preserve">يخبر حالي على التمام</w:t>
      </w:r>
    </w:p>
    <w:p/>
    <w:p>
      <w:pPr>
        <w:jc w:val="center"/>
      </w:pPr>
      <w:r>
        <w:rPr>
          <w:color w:val="ff0000"/>
        </w:rPr>
        <w:t xml:space="preserve">رأى مشيبي ووهن عظمي</w:t>
      </w:r>
      <w:r>
        <w:rPr>
          <w:color w:val="ff0000"/>
        </w:rPr>
        <w:t xml:space="preserve">      </w:t>
      </w:r>
      <w:r>
        <w:rPr>
          <w:color w:val="ff0000"/>
        </w:rPr>
        <w:t xml:space="preserve">قد أدنياني من الحمام</w:t>
      </w:r>
    </w:p>
    <w:p/>
    <w:p>
      <w:pPr/>
      <w:r>
        <w:rPr/>
        <w:t xml:space="preserve">وكان يقال إنه من الأبدال لشدة ورعه وتقواه</w:t>
      </w:r>
    </w:p>
    <w:p/>
    <w:p>
      <w:pPr/>
      <w:r>
        <w:rPr/>
        <w:t xml:space="preserve">توفي يوم الاثنين مستهل شهر رمضان سنة سبع وسبعين وستمائة بقوص</w:t>
      </w:r>
    </w:p>
    <w:p/>
    <w:p>
      <w:pPr/>
      <w:r>
        <w:rPr/>
        <w:t xml:space="preserve">ومن الفوائد عنه</w:t>
      </w:r>
    </w:p>
    <w:p/>
    <w:p>
      <w:pPr/>
      <w:r>
        <w:rPr/>
        <w:t xml:space="preserve">سئل عن عبد بيت المال إذا أراد أن يعتق ولا ولاء عليه فقال يشتري نفسه من وكيل بيت المال ففعل ذلك ثم رفعت القضية إلى قاضي قوص فلم يمض البيع وقال نص الفقهاء على أن ابتياع العبد نفسه عقد عتاقة وليس لوكيل بيت المال أن يعتق أرقاء بيت المال</w:t>
      </w:r>
    </w:p>
    <w:p/>
    <w:p>
      <w:pPr/>
      <w:r>
        <w:rPr/>
        <w:t xml:space="preserve">قلت وما ذكره الشيخ جلال الدين من جواز هذا العتق صحيح فإن هذا العتق واقع بعوض فلا يمنع على الوكيل فعله بل هو أولى من البيع لتشوف الشارع إلى العتق وحصوله بعوض لا يفوت على المسلمين شيئا وأما العتق على المسلمين مجانا فليس لوكيل بيت المال فعله لا لكون عبد بيت المال لا يعتق فإن للإمام عتق بيت المال كما له تمليك من شاء بالمصلحة وقد نص الشافعي في باب الهدنة على أن للإمام العتق ولكن لأن مجرد التوكيل لا يسوغ العتق فإن وكله الإمام في العتق كان له ذلك بالمصلحة كما هو للإمام</w:t>
      </w:r>
    </w:p>
    <w:p/>
    <w:p>
      <w:pPr/>
      <w:r>
        <w:rPr/>
        <w:t xml:space="preserve">وأما قول الشيخ جلال الدين إنه إذا اشترى نفسه من وكيل بيت المال فلا يثبت عليه ولاء ففيه نظر بل صرح الرافعي في باب الهدنة أن الولاء للمسلمين ويؤيده أن الأصح ثبوت الولاء على العبد ويشتري نفسه من مولاه والظاهر أن الخلاف يجري في عبد بيت المال حتى يكون الولاء للمسلمين</w:t>
      </w:r>
    </w:p>
    <w:p>
      <w:pPr>
        <w:jc w:val="start"/>
        <w:bidi/>
      </w:pPr>
      <w:r>
        <w:rPr>
          <w:sz w:val="24"/>
          <w:szCs w:val="24"/>
          <w:b w:val="1"/>
          <w:bCs w:val="1"/>
          <w:rtl/>
        </w:rPr>
        <w:t xml:space="preserve">
طبقات الشافعية الكبرى،(دار هجر - القاهرة،1992،ط 2،ج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الكندى الشيخ جمال الدين الدشناوي
</w:t>
      </w:r>
    </w:p>
    <w:p>
      <w:pPr/>
      <w:r>
        <w:rPr/>
        <w:t xml:space="preserve">أحمد بن عبد الرحمن بن محمد الكندى الشيخ جمال الدين الدشناوي </w:t>
      </w:r>
    </w:p>
    <w:p/>
    <w:p>
      <w:pPr/>
      <w:r>
        <w:rPr/>
        <w:t xml:space="preserve">كان فقيهاً ورعاً مكاشفاً، سمع الحافظ عبد العظيم وغيره، وتفقه على ابن عبد السلام وقرأ الأصول على الشمس الأصفهاني، وصنف المناسك وشرح اللَّه نبيه ولم يكمله ومختصراً في أصول الفقه ومقدمة في العربية، كان شيخ المذهب بقوص، وتفقه عليه جماعة، وعن الشيخ عز الدين بن عبد السلام أنه قيل له: ليس بالصعيد مثل هذين الشابين هو والشيخ تقى الدين القشيرى وقال: ولا في المدينتين. ولد سنة خمس عشرة وستمائة بدشنا من أعمال الصعيد، ومات سنة سبع وستين وستمائة بمدينة قوص، وولده أبو الفتح محمد فقيه محدث أديب سمع الحافظ عبد العظيم أيضاً، وتفقه على والده وغيره، ودرس بالأفرمية كأبيه، ومن شعره:</w:t>
      </w:r>
    </w:p>
    <w:p/>
    <w:p>
      <w:pPr>
        <w:jc w:val="center"/>
      </w:pPr>
      <w:r>
        <w:rPr>
          <w:color w:val="ff0000"/>
        </w:rPr>
        <w:t xml:space="preserve">ليت مدا صدت حيثما</w:t>
      </w:r>
      <w:r>
        <w:rPr>
          <w:color w:val="ff0000"/>
        </w:rPr>
        <w:t xml:space="preserve">      </w:t>
      </w:r>
      <w:r>
        <w:rPr>
          <w:color w:val="ff0000"/>
        </w:rPr>
        <w:t xml:space="preserve">أتى للوصل يشفى عليّ عَلَتىْ</w:t>
      </w:r>
    </w:p>
    <w:p/>
    <w:p>
      <w:pPr>
        <w:jc w:val="center"/>
      </w:pPr>
      <w:r>
        <w:rPr>
          <w:color w:val="ff0000"/>
        </w:rPr>
        <w:t xml:space="preserve">لولم أرض نفسى بصبر</w:t>
      </w:r>
      <w:r>
        <w:rPr>
          <w:color w:val="ff0000"/>
        </w:rPr>
        <w:t xml:space="preserve">      </w:t>
      </w:r>
      <w:r>
        <w:rPr>
          <w:color w:val="ff0000"/>
        </w:rPr>
        <w:t xml:space="preserve">غدا ساعة صد جنبى جَنَتْ</w:t>
      </w:r>
    </w:p>
    <w:p/>
    <w:p>
      <w:pPr/>
      <w:r>
        <w:rPr/>
        <w:t xml:space="preserve">وله أيضاً:</w:t>
      </w:r>
    </w:p>
    <w:p/>
    <w:p>
      <w:pPr>
        <w:jc w:val="center"/>
      </w:pPr>
      <w:r>
        <w:rPr>
          <w:color w:val="ff0000"/>
        </w:rPr>
        <w:t xml:space="preserve">والحال أبدت لمن تميزها تعجبا </w:t>
      </w:r>
      <w:r>
        <w:rPr>
          <w:color w:val="ff0000"/>
        </w:rPr>
        <w:t xml:space="preserve">      </w:t>
      </w:r>
      <w:r>
        <w:rPr>
          <w:color w:val="ff0000"/>
        </w:rPr>
        <w:t xml:space="preserve"> بينا مصدر أو صفة</w:t>
      </w:r>
    </w:p>
    <w:p/>
    <w:p>
      <w:pPr/>
      <w:r>
        <w:rPr/>
        <w:t xml:space="preserve">وله أيضاً:</w:t>
      </w:r>
    </w:p>
    <w:p/>
    <w:p>
      <w:pPr>
        <w:jc w:val="center"/>
      </w:pPr>
      <w:r>
        <w:rPr>
          <w:color w:val="ff0000"/>
        </w:rPr>
        <w:t xml:space="preserve">تعزز بأملى فخضعت ذلاً</w:t>
      </w:r>
      <w:r>
        <w:rPr>
          <w:color w:val="ff0000"/>
        </w:rPr>
        <w:t xml:space="preserve">      </w:t>
      </w:r>
      <w:r>
        <w:rPr>
          <w:color w:val="ff0000"/>
        </w:rPr>
        <w:t xml:space="preserve">وأفرط في الصدود فقلت مهلاً</w:t>
      </w:r>
    </w:p>
    <w:p/>
    <w:p>
      <w:pPr>
        <w:jc w:val="center"/>
      </w:pPr>
      <w:r>
        <w:rPr>
          <w:color w:val="ff0000"/>
        </w:rPr>
        <w:t xml:space="preserve">فقلل من جفاك على مُعنى</w:t>
      </w:r>
      <w:r>
        <w:rPr>
          <w:color w:val="ff0000"/>
        </w:rPr>
        <w:t xml:space="preserve">      </w:t>
      </w:r>
      <w:r>
        <w:rPr>
          <w:color w:val="ff0000"/>
        </w:rPr>
        <w:t xml:space="preserve">وخذ بالوصل منك فقال لا لا</w:t>
      </w:r>
    </w:p>
    <w:p/>
    <w:p>
      <w:pPr/>
      <w:r>
        <w:rPr/>
        <w:t xml:space="preserve">وله أيضاً:</w:t>
      </w:r>
    </w:p>
    <w:p/>
    <w:p>
      <w:pPr>
        <w:jc w:val="center"/>
      </w:pPr>
      <w:r>
        <w:rPr>
          <w:color w:val="ff0000"/>
        </w:rPr>
        <w:t xml:space="preserve">عجرت عن قصة الصبيب</w:t>
      </w:r>
      <w:r>
        <w:rPr>
          <w:color w:val="ff0000"/>
        </w:rPr>
        <w:t xml:space="preserve">      </w:t>
      </w:r>
      <w:r>
        <w:rPr>
          <w:color w:val="ff0000"/>
        </w:rPr>
        <w:t xml:space="preserve">عن قصمة أخذ الشواب آن وصفه</w:t>
      </w:r>
    </w:p>
    <w:p/>
    <w:p>
      <w:pPr/>
      <w:r>
        <w:rPr/>
        <w:t xml:space="preserve">مات ليلة الجمعة ثالث شوال من سنة اثنين وعشرين وسبعمائة بقوص.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2026-07-02T07:55:50+03:00</dcterms:created>
  <dcterms:modified xsi:type="dcterms:W3CDTF">2026-07-02T07:55:50+03:00</dcterms:modified>
</cp:coreProperties>
</file>

<file path=docProps/custom.xml><?xml version="1.0" encoding="utf-8"?>
<Properties xmlns="http://schemas.openxmlformats.org/officeDocument/2006/custom-properties" xmlns:vt="http://schemas.openxmlformats.org/officeDocument/2006/docPropsVTypes"/>
</file>