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عفراء
</w:t>
      </w:r>
    </w:p>
    <w:p>
      <w:pPr>
        <w:jc w:val="start"/>
        <w:bidi/>
      </w:pPr>
      <w:r>
        <w:rPr>
          <w:rFonts w:ascii="arial" w:hAnsi="arial" w:eastAsia="arial" w:cs="arial"/>
          <w:sz w:val="28"/>
          <w:szCs w:val="28"/>
          <w:b w:val="1"/>
          <w:bCs w:val="1"/>
          <w:rtl/>
        </w:rPr>
        <w:t xml:space="preserve">عفراء
</w:t>
      </w:r>
    </w:p>
    <w:p>
      <w:pPr/>
      <w:r>
        <w:rPr/>
        <w:t xml:space="preserve">عفراء  عفراء بنت مهاصر بن مالك، من بني ضبة بن عبد، من عذرة: شاعرة. اشتهرت بأخبارها مع (عروة بن حزام) وهو ابن عم لها، مات أبوه فنشأ في حجر عمه ابي عفراء، وتحابا في صلباهما، فلما كبرا زوجها أبوها لغيره، وسافرت مع زوجها إلى الشام، وكان عروة غائبا، فلما عاد قيل له إنها ماتت. ثم علم بخبرها ورآها قبل موته (أنظر ترجمته) وبلغها نعية فقالت ابياتا في رثائه ومضت إلى قبره، فماتت ودفنت إلى جانبه. وبلغ معاوية خبرهما فقال: لو علمت بحال هذين الحرين الكريمين لجمعت بينهما. </w:t>
      </w:r>
    </w:p>
    <w:p>
      <w:pPr>
        <w:jc w:val="start"/>
        <w:bidi/>
      </w:pPr>
      <w:r>
        <w:rPr>
          <w:sz w:val="24"/>
          <w:szCs w:val="24"/>
          <w:b w:val="1"/>
          <w:bCs w:val="1"/>
          <w:rtl/>
        </w:rPr>
        <w:t xml:space="preserve">
الأعلام،(دار العلم للملايين - بيروت،2002،ط 15،ج 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2026-07-25T12:49:57+03:00</dcterms:created>
  <dcterms:modified xsi:type="dcterms:W3CDTF">2026-07-25T12:49:57+03:00</dcterms:modified>
</cp:coreProperties>
</file>

<file path=docProps/custom.xml><?xml version="1.0" encoding="utf-8"?>
<Properties xmlns="http://schemas.openxmlformats.org/officeDocument/2006/custom-properties" xmlns:vt="http://schemas.openxmlformats.org/officeDocument/2006/docPropsVTypes"/>
</file>