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المساري
</w:t>
      </w:r>
    </w:p>
    <w:p>
      <w:pPr>
        <w:jc w:val="start"/>
        <w:bidi/>
      </w:pPr>
      <w:r>
        <w:rPr>
          <w:rFonts w:ascii="arial" w:hAnsi="arial" w:eastAsia="arial" w:cs="arial"/>
          <w:sz w:val="28"/>
          <w:szCs w:val="28"/>
          <w:b w:val="1"/>
          <w:bCs w:val="1"/>
          <w:rtl/>
        </w:rPr>
        <w:t xml:space="preserve">المساري
</w:t>
      </w:r>
    </w:p>
    <w:p>
      <w:pPr/>
      <w:r>
        <w:rPr/>
        <w:t xml:space="preserve">المساري  العربي (كما كان يسمي نفسه. ويقال له أيضا: محمد العربي) بن عبد الله بن أبي يحيى أبو حامد المساري: أديب. كثير النظم نسبته إلى بني مسارة من قبائل الجبال قرب وزان (في المغرب) كان من تلاميذ التاودي بن سودة ومن معاصري الرهوني. وتولى القضاء في بعض نواحي بلده. له منظومة سماها (سراج طلاب العلوم) شرحها البلغيثي في كتابه (الابتهاج بنور السراج - ط) جزآن. وفي الابتهاج أن الحوات في كتابه (الروضة المقصودة) سماه (العربي ابن يعقوب) فيحتمل انه نسبه إلى أحد أجداده. </w:t>
      </w:r>
    </w:p>
    <w:p>
      <w:pPr>
        <w:jc w:val="start"/>
        <w:bidi/>
      </w:pPr>
      <w:r>
        <w:rPr>
          <w:sz w:val="24"/>
          <w:szCs w:val="24"/>
          <w:b w:val="1"/>
          <w:bCs w:val="1"/>
          <w:rtl/>
        </w:rPr>
        <w:t xml:space="preserve">
الأعلام،(دار العلم للملايين - بيروت،2002،ط 15،ج 4،ص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2026-06-22T10:12:37+03:00</dcterms:created>
  <dcterms:modified xsi:type="dcterms:W3CDTF">2026-06-22T10:12:37+03:00</dcterms:modified>
</cp:coreProperties>
</file>

<file path=docProps/custom.xml><?xml version="1.0" encoding="utf-8"?>
<Properties xmlns="http://schemas.openxmlformats.org/officeDocument/2006/custom-properties" xmlns:vt="http://schemas.openxmlformats.org/officeDocument/2006/docPropsVTypes"/>
</file>