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عدنان الراوي
</w:t>
      </w:r>
    </w:p>
    <w:p>
      <w:pPr>
        <w:jc w:val="start"/>
        <w:bidi/>
      </w:pPr>
      <w:r>
        <w:rPr>
          <w:rFonts w:ascii="arial" w:hAnsi="arial" w:eastAsia="arial" w:cs="arial"/>
          <w:sz w:val="28"/>
          <w:szCs w:val="28"/>
          <w:b w:val="1"/>
          <w:bCs w:val="1"/>
          <w:rtl/>
        </w:rPr>
        <w:t xml:space="preserve">عدنان الراوي
</w:t>
      </w:r>
    </w:p>
    <w:p>
      <w:pPr/>
      <w:r>
        <w:rPr/>
        <w:t xml:space="preserve">عدنان الراوي  عدنان الراوي: مناضل سياسي عراقي، من رجال الصحافة، له نظم كثير. موصلي المولد والمنشأ. عارض حلف بغداد وحكم عليه بالإعدام في عهد نوري السعيد، فلجأ إلى مصر. وعاد إلى العراق بعد ثورة عبد الكريم قاسم، فسجن سبعة أشهر وأفرج عنه، فسافر إلى مصر. وتوفي بالقاهرة. ونقل إلى الموصل. له كتب مطبوعة، منها (الانحراف القومي في العراق) و (أيام النضال) و (الأذيسة العربية، من وحي فلسطين) شعر، و (المشانق والسلام) شعر، و (من القاهرة إلى معقل قاسم) و (نريد أن نتحرر) و (النشيد الأحمر) شعر، و (النفط الملتهب) شعر، و (هذا الوطن) شعر، و (من العراق) و (محكمة المهداوي مأساة وملهاة). </w:t>
      </w:r>
    </w:p>
    <w:p>
      <w:pPr>
        <w:jc w:val="start"/>
        <w:bidi/>
      </w:pPr>
      <w:r>
        <w:rPr>
          <w:sz w:val="24"/>
          <w:szCs w:val="24"/>
          <w:b w:val="1"/>
          <w:bCs w:val="1"/>
          <w:rtl/>
        </w:rPr>
        <w:t xml:space="preserve">
الأعلام،(دار العلم للملايين - بيروت،2002،ط 15،ج 4،ص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2026-06-22T08:04:51+03:00</dcterms:created>
  <dcterms:modified xsi:type="dcterms:W3CDTF">2026-06-22T08:04:51+03:00</dcterms:modified>
</cp:coreProperties>
</file>

<file path=docProps/custom.xml><?xml version="1.0" encoding="utf-8"?>
<Properties xmlns="http://schemas.openxmlformats.org/officeDocument/2006/custom-properties" xmlns:vt="http://schemas.openxmlformats.org/officeDocument/2006/docPropsVTypes"/>
</file>