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الملا عثمان الموصلي
</w:t>
      </w:r>
    </w:p>
    <w:p>
      <w:pPr>
        <w:jc w:val="start"/>
        <w:bidi/>
      </w:pPr>
      <w:r>
        <w:rPr>
          <w:rFonts w:ascii="arial" w:hAnsi="arial" w:eastAsia="arial" w:cs="arial"/>
          <w:sz w:val="28"/>
          <w:szCs w:val="28"/>
          <w:b w:val="1"/>
          <w:bCs w:val="1"/>
          <w:rtl/>
        </w:rPr>
        <w:t xml:space="preserve">الملا عثمان الموصلي
</w:t>
      </w:r>
    </w:p>
    <w:p>
      <w:pPr/>
      <w:r>
        <w:rPr/>
        <w:t xml:space="preserve">الملا عثمان الموصلي  عثمان بن عبد الله بن فتحي بن عليوي، المنسوب إلى بيت الطحان، الموصل المولوي: قارئ، عالم بفنون الموسيقى، له شعر حسن. ولد في الموصل، وكف بصره صغيرا، وانتقل إلى بغداد، وزار دمشق والقسطنطينية ومصر. وحج وعاد إلى بغداد، فتوفى فيها. كان يجيد القراآت العشر، واصدر في مصر مجلة سماها (المعارف) لم تطل حياتها. وكانت له مواقف وطنية محمودة في الثورة العراقية، شعرا وخطابة. وكان يجيد الضرب على العود والعزف ببعض آلات الطرب، واللعب بالشطرنج. له (الابكار الحسان في مدح سيد الاكوان - ط) و (تخميس لامية البوصيري - ط) و (مجموعة سعادة الدارين - ط) و (المرائي الموصلية - ط). </w:t>
      </w:r>
    </w:p>
    <w:p>
      <w:pPr>
        <w:jc w:val="start"/>
        <w:bidi/>
      </w:pPr>
      <w:r>
        <w:rPr>
          <w:sz w:val="24"/>
          <w:szCs w:val="24"/>
          <w:b w:val="1"/>
          <w:bCs w:val="1"/>
          <w:rtl/>
        </w:rPr>
        <w:t xml:space="preserve">
الأعلام،(دار العلم للملايين - بيروت،2002،ط 15،ج 4،ص 209)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2026-07-27T08:12:08+03:00</dcterms:created>
  <dcterms:modified xsi:type="dcterms:W3CDTF">2026-07-27T08:12:08+03:00</dcterms:modified>
</cp:coreProperties>
</file>

<file path=docProps/custom.xml><?xml version="1.0" encoding="utf-8"?>
<Properties xmlns="http://schemas.openxmlformats.org/officeDocument/2006/custom-properties" xmlns:vt="http://schemas.openxmlformats.org/officeDocument/2006/docPropsVTypes"/>
</file>