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بشرون
</w:t>
      </w:r>
    </w:p>
    <w:p>
      <w:pPr>
        <w:jc w:val="start"/>
        <w:bidi/>
      </w:pPr>
      <w:r>
        <w:rPr>
          <w:rFonts w:ascii="arial" w:hAnsi="arial" w:eastAsia="arial" w:cs="arial"/>
          <w:sz w:val="28"/>
          <w:szCs w:val="28"/>
          <w:b w:val="1"/>
          <w:bCs w:val="1"/>
          <w:rtl/>
        </w:rPr>
        <w:t xml:space="preserve">ابن بشرون
</w:t>
      </w:r>
    </w:p>
    <w:p>
      <w:pPr/>
      <w:r>
        <w:rPr/>
        <w:t xml:space="preserve">ابن بشرون  عثمان بن عبد الرحيم بن عبد الرزاق بن جعفر بن بشرون الازدي المهدوي الصقلي: اديب. له كتاب (المختار في النظم والنثر لافاضل أهل العصر) نقل عنه العماد الاصفهاني في الخريدة، وقال: صنفه سنة 561. </w:t>
      </w:r>
    </w:p>
    <w:p>
      <w:pPr>
        <w:jc w:val="start"/>
        <w:bidi/>
      </w:pPr>
      <w:r>
        <w:rPr>
          <w:sz w:val="24"/>
          <w:szCs w:val="24"/>
          <w:b w:val="1"/>
          <w:bCs w:val="1"/>
          <w:rtl/>
        </w:rPr>
        <w:t xml:space="preserve">
الأعلام،(دار العلم للملايين - بيروت،2002،ط 15،ج 4،ص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بشرون
</w:t>
      </w:r>
    </w:p>
    <w:p>
      <w:pPr/>
      <w:r>
        <w:rPr/>
        <w:t xml:space="preserve">ابن بشرون عثمان بن عبد الرحيم بن عبد الرزاق بن جعفر بن بشرون الأزدي المهدوي الصقلي أديب.</w:t>
      </w:r>
      <w:br/>
      <w:r>
        <w:rPr/>
        <w:t xml:space="preserve">له كتاب «المختار في النظم والنثر لأفاضل أهل العصر» نقل عنه العماد الأصفهاني في «الخريدة» وقال: صنفه سنة 561.</w:t>
      </w:r>
      <w:br/>
      <w:r>
        <w:rPr/>
        <w:t xml:space="preserve">والكتاب من مصادر العماد في قسمين من «الخريدة» المصري والأندلسي حتى إن الباب الثاني من قسم الأندلس خصص لذكر جماعة ممن أوردهم ابن بشرون في كتابه هذا، ولم يكتف العماد بهذا بل كان يأخذ عنه في غير هذا الباب ويشير إلى ذلك لأن كتاب «المختار» يضم تراجم الشعراء من مصر والأندلس والمغرب والقيروان.</w:t>
      </w:r>
      <w:br/>
      <w:r>
        <w:rPr/>
        <w:t xml:space="preserve">المصادر والمراجع:</w:t>
      </w:r>
      <w:br/>
      <w:r>
        <w:rPr/>
        <w:t xml:space="preserve">- الأعلام 4/ 370 (نقلا عن خريدة القصر 2/ 115).</w:t>
      </w:r>
      <w:br/>
      <w:r>
        <w:rPr/>
        <w:t xml:space="preserve">- كشف الظنون 2/ 1624.</w:t>
      </w:r>
      <w:br/>
      <w:r>
        <w:rPr/>
        <w:t xml:space="preserve">- معجم المؤلفين 6/ 257 (نقلا عن الأعلام).</w:t>
      </w:r>
      <w:br/>
      <w:r>
        <w:rPr/>
        <w:t xml:space="preserve">- توفيق حسين بكار: مصادر من تراثنا مجهولة.</w:t>
      </w:r>
      <w:br/>
      <w:r>
        <w:rPr/>
        <w:t xml:space="preserve">- مجلة الأقلام البغدادية م 2 السنة 3 جمادى الآخرة 1386 تشرين الأول 1966 ص 128.</w:t>
      </w:r>
      <w:br/>
      <w:r>
        <w:rPr/>
        <w:t xml:space="preserve">* * *</w:t>
      </w:r>
    </w:p>
    <w:p>
      <w:pPr>
        <w:jc w:val="start"/>
        <w:bidi/>
      </w:pPr>
      <w:r>
        <w:rPr>
          <w:sz w:val="24"/>
          <w:szCs w:val="24"/>
          <w:b w:val="1"/>
          <w:bCs w:val="1"/>
          <w:rtl/>
        </w:rPr>
        <w:t xml:space="preserve">
تراجم المؤلفين التونسيين،(دار الغرب الإسلامي، بيروت - لبنان،1994،ط 2،ج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2026-07-26T17:11:59+03:00</dcterms:created>
  <dcterms:modified xsi:type="dcterms:W3CDTF">2026-07-26T17:11:59+03:00</dcterms:modified>
</cp:coreProperties>
</file>

<file path=docProps/custom.xml><?xml version="1.0" encoding="utf-8"?>
<Properties xmlns="http://schemas.openxmlformats.org/officeDocument/2006/custom-properties" xmlns:vt="http://schemas.openxmlformats.org/officeDocument/2006/docPropsVTypes"/>
</file>