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المنصور
</w:t>
      </w:r>
    </w:p>
    <w:p>
      <w:pPr>
        <w:jc w:val="start"/>
        <w:bidi/>
      </w:pPr>
      <w:r>
        <w:rPr>
          <w:rFonts w:ascii="arial" w:hAnsi="arial" w:eastAsia="arial" w:cs="arial"/>
          <w:sz w:val="28"/>
          <w:szCs w:val="28"/>
          <w:b w:val="1"/>
          <w:bCs w:val="1"/>
          <w:rtl/>
        </w:rPr>
        <w:t xml:space="preserve">الملك المنصور
</w:t>
      </w:r>
    </w:p>
    <w:p>
      <w:pPr/>
      <w:r>
        <w:rPr/>
        <w:t xml:space="preserve">الملك المنصور  عثمان (المنصور) بن جقمق (الظاهر) العلائي الظاهري، ابو السعادات، فخر الدين: من ملوك دولة الجراكسة بمصر والشام والحجاز. بويع بالقاهرة قبيل وفاة ابيه (سنة 857هـ) ومات ابوه بعد 12 يوما من ولايته، فلم يلبث ان اضطرب امره، وعصاه امراء الجند؛ فقاتلهم. وحاصروه في القلعة، وقبض عليه زعيمهم اينال العلائي، فأرسله إلى السجن بالاسكندرية، فكانت مدة سلطنته 43 يوما. وظل إلى ايام الظاهر خشقدم، فأطلقه والزمه بالاقامة في الاسكندرية. فأقام إلى ايام الاشرف قايتباي فنقله إلى دمياط. ثم اذن له بالحج، فحج وعاد إلى القاهرة، ثم إلى دمياط. وتوفى بها، فنقل إلى تربة ابيه بالقاهرة. وكان فاضلا له اشتغال بفقه الحنفية، مفتيا. </w:t>
      </w:r>
    </w:p>
    <w:p>
      <w:pPr>
        <w:jc w:val="start"/>
        <w:bidi/>
      </w:pPr>
      <w:r>
        <w:rPr>
          <w:sz w:val="24"/>
          <w:szCs w:val="24"/>
          <w:b w:val="1"/>
          <w:bCs w:val="1"/>
          <w:rtl/>
        </w:rPr>
        <w:t xml:space="preserve">
الأعلام،(دار العلم للملايين - بيروت،2002،ط 15،ج 4،ص 204)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2026-06-22T04:59:19+03:00</dcterms:created>
  <dcterms:modified xsi:type="dcterms:W3CDTF">2026-06-22T04:59:19+03:00</dcterms:modified>
</cp:coreProperties>
</file>

<file path=docProps/custom.xml><?xml version="1.0" encoding="utf-8"?>
<Properties xmlns="http://schemas.openxmlformats.org/officeDocument/2006/custom-properties" xmlns:vt="http://schemas.openxmlformats.org/officeDocument/2006/docPropsVTypes"/>
</file>