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المغربي
</w:t>
      </w:r>
    </w:p>
    <w:p>
      <w:pPr>
        <w:jc w:val="start"/>
        <w:bidi/>
      </w:pPr>
      <w:r>
        <w:rPr>
          <w:rFonts w:ascii="arial" w:hAnsi="arial" w:eastAsia="arial" w:cs="arial"/>
          <w:sz w:val="28"/>
          <w:szCs w:val="28"/>
          <w:b w:val="1"/>
          <w:bCs w:val="1"/>
          <w:rtl/>
        </w:rPr>
        <w:t xml:space="preserve">الحكيم المغربي
</w:t>
      </w:r>
    </w:p>
    <w:p>
      <w:pPr/>
      <w:r>
        <w:rPr/>
        <w:t xml:space="preserve">الحكيم المغربي  عبيد الله بن المظفر بن عبد الله الباهلي، ابو الحكم: اديب، عالم بالطب والهندسة والحكمة. له (ديوان شعر) جيد، يغلب عليه المجون، سماه (نهج الوضاعة لاولي الخلاعة) وذكر فيه جملة من شعراء كانوا في دمشق كطالب الصوري ونصر الهيتي وعرقلة، ورثى فيه انواعا من الدواب والاثاث وخلقا من المغنين. وهو اندلسي الاصل، من أهل المرية. ولد باليمن، واشتهر ببغداد، وكان طبيب المارستان في معسكر السلطان السلجوقي، حيث حل وخيم. وتوفى في دمشق. </w:t>
      </w:r>
    </w:p>
    <w:p>
      <w:pPr>
        <w:jc w:val="start"/>
        <w:bidi/>
      </w:pPr>
      <w:r>
        <w:rPr>
          <w:sz w:val="24"/>
          <w:szCs w:val="24"/>
          <w:b w:val="1"/>
          <w:bCs w:val="1"/>
          <w:rtl/>
        </w:rPr>
        <w:t xml:space="preserve">
الأعلام،(دار العلم للملايين - بيروت،2002،ط 15،ج 4،ص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2026-06-22T03:31:20+03:00</dcterms:created>
  <dcterms:modified xsi:type="dcterms:W3CDTF">2026-06-22T03:31:20+03:00</dcterms:modified>
</cp:coreProperties>
</file>

<file path=docProps/custom.xml><?xml version="1.0" encoding="utf-8"?>
<Properties xmlns="http://schemas.openxmlformats.org/officeDocument/2006/custom-properties" xmlns:vt="http://schemas.openxmlformats.org/officeDocument/2006/docPropsVTypes"/>
</file>