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أحمد بن صدقة: طنبوري حاذق، له غناء كثير من الارمال والاهزاج وما يشبهها من غناء الطنبوريين. كان أبوه حجازيا قدم على الرشيد وغنى له. ونشأ أحمد في الحجاز وزار الشام وطلب المتوكل العباسي فاستحسن غناءه. واتصل بعده بالمأمون واقام في بغداد إلى أن ماتت له بنية في الشام فسافر إليها. وخرج عليه بعض الأعراب فاخذوا ما معه وقتلوه.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2026-07-27T17:44:32+03:00</dcterms:created>
  <dcterms:modified xsi:type="dcterms:W3CDTF">2026-07-27T17:44:32+03:00</dcterms:modified>
</cp:coreProperties>
</file>

<file path=docProps/custom.xml><?xml version="1.0" encoding="utf-8"?>
<Properties xmlns="http://schemas.openxmlformats.org/officeDocument/2006/custom-properties" xmlns:vt="http://schemas.openxmlformats.org/officeDocument/2006/docPropsVTypes"/>
</file>