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مهدي
</w:t>
      </w:r>
    </w:p>
    <w:p>
      <w:pPr>
        <w:jc w:val="start"/>
        <w:bidi/>
      </w:pPr>
      <w:r>
        <w:rPr>
          <w:rFonts w:ascii="arial" w:hAnsi="arial" w:eastAsia="arial" w:cs="arial"/>
          <w:sz w:val="28"/>
          <w:szCs w:val="28"/>
          <w:b w:val="1"/>
          <w:bCs w:val="1"/>
          <w:rtl/>
        </w:rPr>
        <w:t xml:space="preserve">ابن مهدي
</w:t>
      </w:r>
    </w:p>
    <w:p>
      <w:pPr/>
      <w:r>
        <w:rPr/>
        <w:t xml:space="preserve">ابن مهدي  عبد النبي بن علي بن مهدي الحميري: صاحب زبيد. وليها استقلالا بعد موت اخيه مهدي سنة 559هـ. وكان اميرا جوادا بطلا، قاتل ملوك اليمن، واجتمع له ملك الجبال والتهائم، وانتقلت اليه جميع اموال اليمن وذخائرها. وكان يقتل المنهزم من عسكره. وله شعر وعلم بالادب. ولم يكن لاحد من جنده فرس يرتبطه في داره ولاعدة من السلاح، بل الخيل في اصطبلاته والسلاح في خزائنه، فاذا عن له امر اخرج لهم من الخيل والسلاح ما يحتاجون اليه. واستمرت الحروب بينه وبين ملوك اليمن إلى ان ظفر به السلطان علي بن حاتم (صاحب صنعاء) وقبض عليه، ثم قتله. </w:t>
      </w:r>
    </w:p>
    <w:p>
      <w:pPr>
        <w:jc w:val="start"/>
        <w:bidi/>
      </w:pPr>
      <w:r>
        <w:rPr>
          <w:sz w:val="24"/>
          <w:szCs w:val="24"/>
          <w:b w:val="1"/>
          <w:bCs w:val="1"/>
          <w:rtl/>
        </w:rPr>
        <w:t xml:space="preserve">
الأعلام،(دار العلم للملايين - بيروت،2002،ط 15،ج 4،ص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2026-07-27T14:02:51+03:00</dcterms:created>
  <dcterms:modified xsi:type="dcterms:W3CDTF">2026-07-27T14:02:51+03:00</dcterms:modified>
</cp:coreProperties>
</file>

<file path=docProps/custom.xml><?xml version="1.0" encoding="utf-8"?>
<Properties xmlns="http://schemas.openxmlformats.org/officeDocument/2006/custom-properties" xmlns:vt="http://schemas.openxmlformats.org/officeDocument/2006/docPropsVTypes"/>
</file>