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الخصال
</w:t>
      </w:r>
    </w:p>
    <w:p>
      <w:pPr>
        <w:jc w:val="start"/>
        <w:bidi/>
      </w:pPr>
      <w:r>
        <w:rPr>
          <w:rFonts w:ascii="arial" w:hAnsi="arial" w:eastAsia="arial" w:cs="arial"/>
          <w:sz w:val="28"/>
          <w:szCs w:val="28"/>
          <w:b w:val="1"/>
          <w:bCs w:val="1"/>
          <w:rtl/>
        </w:rPr>
        <w:t xml:space="preserve">ابن أبي الخصال
</w:t>
      </w:r>
    </w:p>
    <w:p>
      <w:pPr/>
      <w:r>
        <w:rPr/>
        <w:t xml:space="preserve">ابن أبي الخصال عبد الملك بن مسعود (أبي الخصال) بن فرج بن عطية الغافقي، أبو مروان: كاتب أندلسي، من أهل شقورة. سكن قرطبة. واستعمله ولاة اللمتونيين في الكتابة، بفاس ومراكش. له رسائل لطيفة، أورد صاحب القلائد بعضها.</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الخصال الكاتب الغافقي
</w:t>
      </w:r>
    </w:p>
    <w:p>
      <w:pPr/>
      <w:r>
        <w:rPr/>
        <w:t xml:space="preserve">ابن أبي الخصال الكاتب الغافقي اسمه عبد الملك بن أبي الخصال.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الخصال المغربي
</w:t>
      </w:r>
    </w:p>
    <w:p>
      <w:pPr/>
      <w:r>
        <w:rPr/>
        <w:t xml:space="preserve">ابن أبي الخصال المغربي عبد الملك بن مسعود بن فرج. أبو مروان ابن أبي الخصال الغافقي الكاتب. نزيل قرطبة. كان أديبا حاذقا فصيحا مفوها بليغا. له رسائل بديعة. استعمله الأمراء في الكتاب. </w:t>
      </w:r>
    </w:p>
    <w:p/>
    <w:p>
      <w:pPr/>
      <w:r>
        <w:rPr/>
        <w:t xml:space="preserve">وتوفي سنة سبع وثلاثين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2026-06-21T18:54:11+03:00</dcterms:created>
  <dcterms:modified xsi:type="dcterms:W3CDTF">2026-06-21T18:54:11+03:00</dcterms:modified>
</cp:coreProperties>
</file>

<file path=docProps/custom.xml><?xml version="1.0" encoding="utf-8"?>
<Properties xmlns="http://schemas.openxmlformats.org/officeDocument/2006/custom-properties" xmlns:vt="http://schemas.openxmlformats.org/officeDocument/2006/docPropsVTypes"/>
</file>