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عبد الملك بن عبد الرحيم الحارث: شاعر فحل. من بني الحارث بن كعب، من قحطان. كان من سكان الفلجة، من الأراضي التابعة لدمشق في أيامه (يطل عليها جبل عاملة) وقصد بغداد، فسجنه الرشيد العباسي، وجهل مصيرة. وضاع أكثر شعره. وما بقي منه طبقته عالية. وفي العلماء من يجزم بأن من شعره (اللامية) المنسوبة للسموأل، كلها أو أكثرها وكان له ابن شاعر (محمد بن عبد الملك) وحفيد شاعر (الوليد بن محمد) وأخ شاعر (سعيد ابن عبد الرحيم).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2026-07-26T22:55:10+03:00</dcterms:created>
  <dcterms:modified xsi:type="dcterms:W3CDTF">2026-07-26T22:55:10+03:00</dcterms:modified>
</cp:coreProperties>
</file>

<file path=docProps/custom.xml><?xml version="1.0" encoding="utf-8"?>
<Properties xmlns="http://schemas.openxmlformats.org/officeDocument/2006/custom-properties" xmlns:vt="http://schemas.openxmlformats.org/officeDocument/2006/docPropsVTypes"/>
</file>