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شهيد
</w:t>
      </w:r>
    </w:p>
    <w:p>
      <w:pPr>
        <w:jc w:val="start"/>
        <w:bidi/>
      </w:pPr>
      <w:r>
        <w:rPr>
          <w:rFonts w:ascii="arial" w:hAnsi="arial" w:eastAsia="arial" w:cs="arial"/>
          <w:sz w:val="28"/>
          <w:szCs w:val="28"/>
          <w:b w:val="1"/>
          <w:bCs w:val="1"/>
          <w:rtl/>
        </w:rPr>
        <w:t xml:space="preserve">ابن شهيد
</w:t>
      </w:r>
    </w:p>
    <w:p>
      <w:pPr/>
      <w:r>
        <w:rPr/>
        <w:t xml:space="preserve">ابن شهيد  عبد الملك بن أحمد بن عبد الملك بن شهيد القرطبي، ابو مروان: وزير، من اعلام الاندلس ومؤرخيها وندماء ملوكها. ولد ومات بقرطبة. له (تاريخ) كبير يزيد على مئة جزء، بدأه بعام الجماعة (سنة 40 هـ) وختمه عام وفاته، مرتبا على السنين.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شهيد
</w:t>
      </w:r>
    </w:p>
    <w:p>
      <w:pPr/>
      <w:r>
        <w:rPr/>
        <w:t xml:space="preserve">الوزير ابن شهيد عبد الملك بن أحمد بن عبد الملك بن شهيد، الوزير أبو مروان القرطبي. روى عن قاسم بن أصبغ. وكان إماما في اللغة والأخبار، وصنف التاريخ الكبير على السنين من وفاة علي رضي الله عنه؛ وهو أزيد من مائة سفر. </w:t>
      </w:r>
    </w:p>
    <w:p/>
    <w:p>
      <w:pPr/>
      <w:r>
        <w:rPr/>
        <w:t xml:space="preserve">توفي بالذبحة في رابع ذي القعدة سنة ثلاث وتسعين وأربع ماية. وصحب المنصور أبا عامر.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2026-06-21T16:21:19+03:00</dcterms:created>
  <dcterms:modified xsi:type="dcterms:W3CDTF">2026-06-21T16:21:19+03:00</dcterms:modified>
</cp:coreProperties>
</file>

<file path=docProps/custom.xml><?xml version="1.0" encoding="utf-8"?>
<Properties xmlns="http://schemas.openxmlformats.org/officeDocument/2006/custom-properties" xmlns:vt="http://schemas.openxmlformats.org/officeDocument/2006/docPropsVTypes"/>
</file>