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المسيح أنطاكي
</w:t>
      </w:r>
    </w:p>
    <w:p>
      <w:pPr>
        <w:jc w:val="start"/>
        <w:bidi/>
      </w:pPr>
      <w:r>
        <w:rPr>
          <w:rFonts w:ascii="arial" w:hAnsi="arial" w:eastAsia="arial" w:cs="arial"/>
          <w:sz w:val="28"/>
          <w:szCs w:val="28"/>
          <w:b w:val="1"/>
          <w:bCs w:val="1"/>
          <w:rtl/>
        </w:rPr>
        <w:t xml:space="preserve">عبد المسيح أنطاكي
</w:t>
      </w:r>
    </w:p>
    <w:p>
      <w:pPr/>
      <w:r>
        <w:rPr/>
        <w:t xml:space="preserve">عبد المسيح أنطاكي  عبد المسيح بن فتح الله بن عبد المسيح ابن حنا، الانطاكي الحلبي: صحافي. له نظم كان يمدح به بعض امراء العرب وغيرهم ويفوز بعطاياهم. وهو يوناني الاصل. سكن احد اجداده انطاكية، وانتقلت عائلتهم إلى حلب سنة 1163هـ. وبها ولد صاحب الترجمة، ونشأ، واصدر عشرة اجزاء من مجلة شهرية سماها (الشذور) ثم انتقل إلى مصر سنة 1315هـ ، واصدر جريدة (العمران) اثني عشر عاما. وتوفى بالقاهرة. له (نيل الاماني في الدستور العثماني - ط) و (النهضة الشرقية - ط) لم يكمل، و (ديوان عرف الخزام - ط) مدائح، و (رحلة السلطان حسين في رياض البحرين - ط) و (الرياض المزهرة بين الكويت والمحمرة - ط). </w:t>
      </w:r>
    </w:p>
    <w:p>
      <w:pPr>
        <w:jc w:val="start"/>
        <w:bidi/>
      </w:pPr>
      <w:r>
        <w:rPr>
          <w:sz w:val="24"/>
          <w:szCs w:val="24"/>
          <w:b w:val="1"/>
          <w:bCs w:val="1"/>
          <w:rtl/>
        </w:rPr>
        <w:t xml:space="preserve">
الأعلام،(دار العلم للملايين - بيروت،2002،ط 15،ج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2026-07-27T17:45:23+03:00</dcterms:created>
  <dcterms:modified xsi:type="dcterms:W3CDTF">2026-07-27T17:45:23+03:00</dcterms:modified>
</cp:coreProperties>
</file>

<file path=docProps/custom.xml><?xml version="1.0" encoding="utf-8"?>
<Properties xmlns="http://schemas.openxmlformats.org/officeDocument/2006/custom-properties" xmlns:vt="http://schemas.openxmlformats.org/officeDocument/2006/docPropsVTypes"/>
</file>