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العراسي
</w:t>
      </w:r>
    </w:p>
    <w:p>
      <w:pPr>
        <w:jc w:val="start"/>
        <w:bidi/>
      </w:pPr>
      <w:r>
        <w:rPr>
          <w:rFonts w:ascii="arial" w:hAnsi="arial" w:eastAsia="arial" w:cs="arial"/>
          <w:sz w:val="28"/>
          <w:szCs w:val="28"/>
          <w:b w:val="1"/>
          <w:bCs w:val="1"/>
          <w:rtl/>
        </w:rPr>
        <w:t xml:space="preserve">العراسي
</w:t>
      </w:r>
    </w:p>
    <w:p>
      <w:pPr/>
      <w:r>
        <w:rPr/>
        <w:t xml:space="preserve">العراسي  عبد الله بن محيي الدين العراسي. الصنعاني: قاض يماني من علماء صنعاء ولي أوقافها ثم اوقاف اليمن كله. وحسنت سيرته. وصنف (تخريج أحاديث الثمرات - خ) المجلد الثاني منه، في جامع الروضة من أعمال صنعاء. فرغ من تأليفه سنة 1180 وسماه (الفتوحات الإلهية في تخريج ما في الثمرات من الأحاديث النبوية) ويسمى (الثمرات في تفسير الآيات) أي (آيات الأحكام) للفقيه يوسف ابن أحمد بن عثمان (832) ولصاحب الترجمة شعر وموشحات، ومنظومة سماها (مفتاح السعادة الأبدية) 700 بيت في فضل كلمة التوحيد. </w:t>
      </w:r>
    </w:p>
    <w:p>
      <w:pPr>
        <w:jc w:val="start"/>
        <w:bidi/>
      </w:pPr>
      <w:r>
        <w:rPr>
          <w:sz w:val="24"/>
          <w:szCs w:val="24"/>
          <w:b w:val="1"/>
          <w:bCs w:val="1"/>
          <w:rtl/>
        </w:rPr>
        <w:t xml:space="preserve">
الأعلام،(دار العلم للملايين - بيروت،2002،ط 15،ج 4،ص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2026-06-19T14:20:48+03:00</dcterms:created>
  <dcterms:modified xsi:type="dcterms:W3CDTF">2026-06-19T14:20:48+03:00</dcterms:modified>
</cp:coreProperties>
</file>

<file path=docProps/custom.xml><?xml version="1.0" encoding="utf-8"?>
<Properties xmlns="http://schemas.openxmlformats.org/officeDocument/2006/custom-properties" xmlns:vt="http://schemas.openxmlformats.org/officeDocument/2006/docPropsVTypes"/>
</file>