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التلمساني
</w:t>
      </w:r>
    </w:p>
    <w:p>
      <w:pPr>
        <w:jc w:val="start"/>
        <w:bidi/>
      </w:pPr>
      <w:r>
        <w:rPr>
          <w:rFonts w:ascii="arial" w:hAnsi="arial" w:eastAsia="arial" w:cs="arial"/>
          <w:sz w:val="28"/>
          <w:szCs w:val="28"/>
          <w:b w:val="1"/>
          <w:bCs w:val="1"/>
          <w:rtl/>
        </w:rPr>
        <w:t xml:space="preserve">ابن التلمساني
</w:t>
      </w:r>
    </w:p>
    <w:p>
      <w:pPr/>
      <w:r>
        <w:rPr/>
        <w:t xml:space="preserve">ابن التلمساني  عبد الله بن محمد بن علي، أبو محمد، شرف الدين الفهري التلمساني: فقيه أصولي شافعي. أصله من تلمسان اشتهر بمصر، وتصدر للإقراء. وصنف كتبا، منها (شرح المعالم في أصول الدين خ) في شستربتي (3951) و (شرح التنبيه) في فروع الفقه، سماه (المغني) ولم يكمله، و (شرح خطب ابن نباتة).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التلمسانى شرف الدين أبو محمد عبد اللَّه بن علي الفهري.
</w:t>
      </w:r>
    </w:p>
    <w:p>
      <w:pPr/>
      <w:r>
        <w:rPr/>
        <w:t xml:space="preserve">ابن التلمسانى شرف الدين أبو محمد عبد اللَّه بن علي الفهري. </w:t>
      </w:r>
    </w:p>
    <w:p/>
    <w:p>
      <w:pPr/>
      <w:r>
        <w:rPr/>
        <w:t xml:space="preserve">كان إماماً عالماً بالفقه والأصلين ذكياً فصيحاً حسن التعبير، تصدر للإقراء بمدينة مصر وأنتفع به الناس، وصنف شرحين على العالم للإمام وشرحاً على التنبيه مبسوطاً سماه ’’المغنى’’ ولم يكمله، نقل ابن الرفعة عنه مواضع كثيرة، لا تحضرنى طبقته ولا مولده ولا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2026-07-27T08:33:19+03:00</dcterms:created>
  <dcterms:modified xsi:type="dcterms:W3CDTF">2026-07-27T08:33:19+03:00</dcterms:modified>
</cp:coreProperties>
</file>

<file path=docProps/custom.xml><?xml version="1.0" encoding="utf-8"?>
<Properties xmlns="http://schemas.openxmlformats.org/officeDocument/2006/custom-properties" xmlns:vt="http://schemas.openxmlformats.org/officeDocument/2006/docPropsVTypes"/>
</file>