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w:t>
      </w:r>
    </w:p>
    <w:p>
      <w:pPr>
        <w:jc w:val="start"/>
        <w:bidi/>
      </w:pPr>
      <w:r>
        <w:rPr>
          <w:rFonts w:ascii="arial" w:hAnsi="arial" w:eastAsia="arial" w:cs="arial"/>
          <w:sz w:val="28"/>
          <w:szCs w:val="28"/>
          <w:b w:val="1"/>
          <w:bCs w:val="1"/>
          <w:rtl/>
        </w:rPr>
        <w:t xml:space="preserve">عبد الله بن محمد
</w:t>
      </w:r>
    </w:p>
    <w:p>
      <w:pPr/>
      <w:r>
        <w:rPr/>
        <w:t xml:space="preserve">عبد الله بن محمد  عبد الله بن محمد بن عبد الرحمن بن الحكم بن هشام: من ملوك بني امية في الاندلس. بويع له بقرطبة يوم وفاة اخيه المنذر (سنة 275هـ) وكثرت الثورات في ايامه. وكان مقتصدا، كارها للسرف، كثير الصدقات والمبرات، ورعا، متفننا في العلوم، بصيرا بلغات العرب، فصيحا، يقول الشعر ويرويه. ابتنى ساباط قرطبة بين القصر والجامع. وكان يقعد فيه قبل صلاة الجمعة وبعدها، فيرفع الحجاب، ويأذن لكل متظلم. وكان يجلس على بعض ابواب قصره في ايم معلومة فترفع اليه الشكايات، وتصله الكتب من باب يضع فيه اصحاب الظلامات كتبهم وعرائضهم. يعده المؤرخون من اصلح الامويين في المغرب وامثلهم طريقة واتمهم معرفة. وخصه ابن حيان بجزء (ط) من تاريخه (المقتبس). توفى بقرطبة. </w:t>
      </w:r>
    </w:p>
    <w:p>
      <w:pPr>
        <w:jc w:val="start"/>
        <w:bidi/>
      </w:pPr>
      <w:r>
        <w:rPr>
          <w:sz w:val="24"/>
          <w:szCs w:val="24"/>
          <w:b w:val="1"/>
          <w:bCs w:val="1"/>
          <w:rtl/>
        </w:rPr>
        <w:t xml:space="preserve">
الأعلام،(دار العلم للملايين - بيروت،2002،ط 15،ج 4،ص 119)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الرحمن بن الحكم بن هشام بن عبد الرحمن بن معاوية بن هشام
</w:t>
      </w:r>
    </w:p>
    <w:p>
      <w:pPr/>
      <w:r>
        <w:rPr/>
        <w:t xml:space="preserve">عبد الله بن محمد بن عبد الرحمن بن الحكم بن هشام بن عبد الرحمن بن معاوية بن هشام بن عبد الملك بن مروان بن الحكم ابن أبي العاص بن أمية بن عبد شمس بن عبد مناف الأمير عبد الله بن محمد</w:t>
      </w:r>
    </w:p>
    <w:p/>
    <w:p>
      <w:pPr/>
      <w:r>
        <w:rPr/>
        <w:t xml:space="preserve">قال أحمد: ولي عبد الله بن محمد: سنة خمس وسبعين ومائتين؛ وتوفي (رحمه الله): ليلة الخميس أول يوم من ربيع الأول، سنة ثلاث مائة.</w:t>
      </w:r>
    </w:p>
    <w:p/>
    <w:p>
      <w:pPr/>
      <w:r>
        <w:rPr/>
        <w:t xml:space="preserve">وقال الرازي: توفي الأمير عبد الله: ليلة الخميس مستهل ربيع الأول، سنة ثلاث مائة. وكانت خلافته: خمسا وعشرين سنة، وخمسة عشر يوما. ودفن: في القصر؛ يوم الخميس مستهل ربيع الأول. وبلغ من السن: اثنتين وسبعين سنة.</w:t>
      </w:r>
    </w:p>
    <w:p/>
    <w:p/>
    <w:p>
      <w:pPr>
        <w:jc w:val="start"/>
        <w:bidi/>
      </w:pPr>
      <w:r>
        <w:rPr>
          <w:sz w:val="24"/>
          <w:szCs w:val="24"/>
          <w:b w:val="1"/>
          <w:bCs w:val="1"/>
          <w:rtl/>
        </w:rPr>
        <w:t xml:space="preserve">
تاريخ علماء الأندلس،( مكتبة الخانجي - القاهرة،1988،ط 2،ج 1،ص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2026-06-19T13:13:43+03:00</dcterms:created>
  <dcterms:modified xsi:type="dcterms:W3CDTF">2026-06-19T13:13:43+03:00</dcterms:modified>
</cp:coreProperties>
</file>

<file path=docProps/custom.xml><?xml version="1.0" encoding="utf-8"?>
<Properties xmlns="http://schemas.openxmlformats.org/officeDocument/2006/custom-properties" xmlns:vt="http://schemas.openxmlformats.org/officeDocument/2006/docPropsVTypes"/>
</file>