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عبد الله بن عمر بن عبد العزيز بن المنذر، من نسل هبار بن الاسود القرشي: ثاني الامراء اصحاب (ثغر السند) من هذه الاسرة. وكانت قاعدتهم (المنصورة). ولي بعد وفاة ابيه. وكان يخطب للخليفة العباسي. وتداول ابناؤه الامارة من بعده إلى ان غلبهم عليها محمود بن سبكتكين صاحب غزنة.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2026-06-15T21:05:57+03:00</dcterms:created>
  <dcterms:modified xsi:type="dcterms:W3CDTF">2026-06-15T21:05:57+03:00</dcterms:modified>
</cp:coreProperties>
</file>

<file path=docProps/custom.xml><?xml version="1.0" encoding="utf-8"?>
<Properties xmlns="http://schemas.openxmlformats.org/officeDocument/2006/custom-properties" xmlns:vt="http://schemas.openxmlformats.org/officeDocument/2006/docPropsVTypes"/>
</file>