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شارح الفصوص
</w:t>
      </w:r>
    </w:p>
    <w:p>
      <w:pPr>
        <w:jc w:val="start"/>
        <w:bidi/>
      </w:pPr>
      <w:r>
        <w:rPr>
          <w:rFonts w:ascii="arial" w:hAnsi="arial" w:eastAsia="arial" w:cs="arial"/>
          <w:sz w:val="28"/>
          <w:szCs w:val="28"/>
          <w:b w:val="1"/>
          <w:bCs w:val="1"/>
          <w:rtl/>
        </w:rPr>
        <w:t xml:space="preserve">شارح الفصوص
</w:t>
      </w:r>
    </w:p>
    <w:p>
      <w:pPr/>
      <w:r>
        <w:rPr/>
        <w:t xml:space="preserve">شارح الفصوص  عبد الله عبدي بن محمد الرومي البوسنوي البيرامي، المعروف بشارح الفصوص: فاضل متصوف. من أهل البوسنة، يعرف عند اهلها باسم (غائبي) وورد ذكره في كشف الظنون باسم (عبدب) له تصانيف عربية تركية. وكان قد شرح فصوص الحكم لابن عربي بالتركية (والنسخة التركية مطبوعة) ثم ترجمه إلى العربية، وسماه (تجليات عرائس النصوص في منصات حكم الفصوص - خ) ومن كتبه العربية (قرة عين الشهود - خ) في شرح التائية الكبرى لابن الفارض. واورد صاحب الجوهر الاسنى اسماء 61 كتابا ورسالة له. مات عائدا من الحج، بمدينة قوتية، ودفن فيها. والبيرامي نسبة إلى الطريقة البيرامية، وكان من مشايخها. </w:t>
      </w:r>
    </w:p>
    <w:p>
      <w:pPr>
        <w:jc w:val="start"/>
        <w:bidi/>
      </w:pPr>
      <w:r>
        <w:rPr>
          <w:sz w:val="24"/>
          <w:szCs w:val="24"/>
          <w:b w:val="1"/>
          <w:bCs w:val="1"/>
          <w:rtl/>
        </w:rPr>
        <w:t xml:space="preserve">
الأعلام،(دار العلم للملايين - بيروت،2002،ط 15،ج 4،ص 101)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2026-06-15T18:57:34+03:00</dcterms:created>
  <dcterms:modified xsi:type="dcterms:W3CDTF">2026-06-15T18:57:34+03:00</dcterms:modified>
</cp:coreProperties>
</file>

<file path=docProps/custom.xml><?xml version="1.0" encoding="utf-8"?>
<Properties xmlns="http://schemas.openxmlformats.org/officeDocument/2006/custom-properties" xmlns:vt="http://schemas.openxmlformats.org/officeDocument/2006/docPropsVTypes"/>
</file>