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العجاج
</w:t>
      </w:r>
    </w:p>
    <w:p>
      <w:pPr>
        <w:jc w:val="start"/>
        <w:bidi/>
      </w:pPr>
      <w:r>
        <w:rPr>
          <w:rFonts w:ascii="arial" w:hAnsi="arial" w:eastAsia="arial" w:cs="arial"/>
          <w:sz w:val="28"/>
          <w:szCs w:val="28"/>
          <w:b w:val="1"/>
          <w:bCs w:val="1"/>
          <w:rtl/>
        </w:rPr>
        <w:t xml:space="preserve">العجاج
</w:t>
      </w:r>
    </w:p>
    <w:p>
      <w:pPr/>
      <w:r>
        <w:rPr/>
        <w:t xml:space="preserve">العجاج  عبد الله بن رؤية بن لبيد بن صخر السعدي التميمي، ابو الشعثاء، الحجاج: راجز مجيد، من الشعراء. ولد في الجاهلية وقال الشعر فيها. ثم اسلم، وعاش إلى ايام الوليد بن عبد الملك، ففلج واقعد. وهو اول من رفع الرجز، وشبهه بالقصيد. وكان لايهجو. وهو والد (رؤية) الراجز المشهور ايضا. له (ديوان شعر - خ) مع شرحه. </w:t>
      </w:r>
    </w:p>
    <w:p>
      <w:pPr>
        <w:jc w:val="start"/>
        <w:bidi/>
      </w:pPr>
      <w:r>
        <w:rPr>
          <w:sz w:val="24"/>
          <w:szCs w:val="24"/>
          <w:b w:val="1"/>
          <w:bCs w:val="1"/>
          <w:rtl/>
        </w:rPr>
        <w:t xml:space="preserve">
الأعلام،(دار العلم للملايين - بيروت،2002،ط 15،ج 4،ص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رؤبة بن لبيد بن صخر بن كنيف بن عمرو بن حيي بن ربيعة بن سعد بن مالك بن سعد بن زيد مناة بن تميم التميمي السعدي
</w:t>
      </w:r>
    </w:p>
    <w:p>
      <w:pPr/>
      <w:r>
        <w:rPr/>
        <w:t xml:space="preserve">عبد الله بن رؤبة بن لبيد بن صخر بن كنيف بن عمرو بن حيي بن ربيعة بن سعد بن مالك بن سعد بن زيد مناة بن تميم التميمي السعدي يكنى أبا الشعثاء، ويعرف بالعجاج الراجز المشهور. وكان يقال له عبد الله الطويل، وهو والد رؤبة بن العجاج الراجز المشهور.</w:t>
      </w:r>
    </w:p>
    <w:p/>
    <w:p>
      <w:pPr/>
      <w:r>
        <w:rPr/>
        <w:t xml:space="preserve">ذكره المرزباني في «معجم الشعراء»، وقال: ولد في الجاهلية. وقال أبو عبيدة: كان في الجاهلية يرجز، وعاش إلى خلافة الوليد بن عبد الملك. وأنكر ذلك عمر بن شبة.</w:t>
      </w:r>
    </w:p>
    <w:p/>
    <w:p>
      <w:pPr/>
      <w:r>
        <w:rPr/>
        <w:t xml:space="preserve">وللعجاج رواية عن أبي هريرة.</w:t>
      </w:r>
    </w:p>
    <w:p/>
    <w:p>
      <w:pPr/>
      <w:r>
        <w:rPr/>
        <w:t xml:space="preserve">قال المرزباني: هو أول من رفع الرجز، وجعل له أوائل، وشبهه بالقصيدة، قال: ومما يستحسن له يصف ثدي الناقة إذا حلبت:</w:t>
      </w:r>
    </w:p>
    <w:p/>
    <w:p>
      <w:pPr>
        <w:jc w:val="center"/>
      </w:pPr>
      <w:r>
        <w:rPr>
          <w:color w:val="ff0000"/>
        </w:rPr>
        <w:t xml:space="preserve">كأن خلفيها إذا ما درا</w:t>
      </w:r>
      <w:r>
        <w:rPr>
          <w:color w:val="ff0000"/>
        </w:rPr>
        <w:t xml:space="preserve">      </w:t>
      </w:r>
      <w:r>
        <w:rPr>
          <w:color w:val="ff0000"/>
        </w:rPr>
        <w:t xml:space="preserve">جروا هراش حرشا فهرا</w:t>
      </w:r>
    </w:p>
    <w:p/>
    <w:p>
      <w:pPr>
        <w:jc w:val="start"/>
        <w:bidi/>
      </w:pPr>
      <w:r>
        <w:rPr>
          <w:sz w:val="24"/>
          <w:szCs w:val="24"/>
          <w:b w:val="1"/>
          <w:bCs w:val="1"/>
          <w:rtl/>
        </w:rPr>
        <w:t xml:space="preserve">
الإصابة في تمييز الصحابة،(دار الكتب العلمية - بيروت،1995،ط 1،ج 5،ص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2026-07-23T18:32:51+03:00</dcterms:created>
  <dcterms:modified xsi:type="dcterms:W3CDTF">2026-07-23T18:32:51+03:00</dcterms:modified>
</cp:coreProperties>
</file>

<file path=docProps/custom.xml><?xml version="1.0" encoding="utf-8"?>
<Properties xmlns="http://schemas.openxmlformats.org/officeDocument/2006/custom-properties" xmlns:vt="http://schemas.openxmlformats.org/officeDocument/2006/docPropsVTypes"/>
</file>