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الصنهاجي
</w:t>
      </w:r>
    </w:p>
    <w:p>
      <w:pPr>
        <w:jc w:val="start"/>
        <w:bidi/>
      </w:pPr>
      <w:r>
        <w:rPr>
          <w:rFonts w:ascii="arial" w:hAnsi="arial" w:eastAsia="arial" w:cs="arial"/>
          <w:sz w:val="28"/>
          <w:szCs w:val="28"/>
          <w:b w:val="1"/>
          <w:bCs w:val="1"/>
          <w:rtl/>
        </w:rPr>
        <w:t xml:space="preserve">الصنهاجي
</w:t>
      </w:r>
    </w:p>
    <w:p>
      <w:pPr/>
      <w:r>
        <w:rPr/>
        <w:t xml:space="preserve">الصنهاجي  عبد الله بن بلكين - او بلقين - بن باديس بن حيوس الصنهاجي: آخر ملوك غرناطة، من الدولة الصنهاجية، في ايام ملوك الطوائف بالاندلس. وليها بعد وفاة جده باديس بن حيوس (سنة 465هـ) واستمر فيها إلى ان هاجمه يوسف بن تاشفين وتغلب عليه (سنة 483هـ) واخذه معه في عودته إلى مراكش، وضم اليه اخا له اسمه تميم، وانزلهما بالسوس الاقصى، واقطع لهما إلى ان هلكا. قال ابن خلدون: فاضمحل ملك (بلكانة) من صنهاجة ومن افريقفية والاندلس اجمع. وهو صاحب كتاب (التبيان عن الحادثة بدولة بني زيري في غرناطة) رآه النباهي مؤلف تاريخ قضاة الاندلس، ونقل عنه. </w:t>
      </w:r>
    </w:p>
    <w:p>
      <w:pPr>
        <w:jc w:val="start"/>
        <w:bidi/>
      </w:pPr>
      <w:r>
        <w:rPr>
          <w:sz w:val="24"/>
          <w:szCs w:val="24"/>
          <w:b w:val="1"/>
          <w:bCs w:val="1"/>
          <w:rtl/>
        </w:rPr>
        <w:t xml:space="preserve">
الأعلام،(دار العلم للملايين - بيروت،2002،ط 15،ج 4،ص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2026-06-10T08:02:27+03:00</dcterms:created>
  <dcterms:modified xsi:type="dcterms:W3CDTF">2026-06-10T08:02:27+03:00</dcterms:modified>
</cp:coreProperties>
</file>

<file path=docProps/custom.xml><?xml version="1.0" encoding="utf-8"?>
<Properties xmlns="http://schemas.openxmlformats.org/officeDocument/2006/custom-properties" xmlns:vt="http://schemas.openxmlformats.org/officeDocument/2006/docPropsVTypes"/>
</file>