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ميرداد
</w:t>
      </w:r>
    </w:p>
    <w:p>
      <w:pPr>
        <w:jc w:val="start"/>
        <w:bidi/>
      </w:pPr>
      <w:r>
        <w:rPr>
          <w:rFonts w:ascii="arial" w:hAnsi="arial" w:eastAsia="arial" w:cs="arial"/>
          <w:sz w:val="28"/>
          <w:szCs w:val="28"/>
          <w:b w:val="1"/>
          <w:bCs w:val="1"/>
          <w:rtl/>
        </w:rPr>
        <w:t xml:space="preserve">ابن ميرداد
</w:t>
      </w:r>
    </w:p>
    <w:p>
      <w:pPr/>
      <w:r>
        <w:rPr/>
        <w:t xml:space="preserve">ابن ميرداد  عبد الله بن أحمد ابي الخير بن عبد الله ابن محمد، ابن ميرداد: فاضل، له علم بالتاريخ والتراجم. من أهل مكة. كان من خطباء المسجد الحرام. وولي القضاء بمكة في عهد الشريف حسين بن علي، وقتل في واقعة الطائف. له (نشر النور والزهر في تراجم افاضل أهل مكة من القرن العاشر إلى القرن الرابع عشر - خ) اختصره عبد الله ابن محمد غازي وسماه (نظم الدرر في اختصار نشر النور والزهر - خ). </w:t>
      </w:r>
    </w:p>
    <w:p>
      <w:pPr>
        <w:jc w:val="start"/>
        <w:bidi/>
      </w:pPr>
      <w:r>
        <w:rPr>
          <w:sz w:val="24"/>
          <w:szCs w:val="24"/>
          <w:b w:val="1"/>
          <w:bCs w:val="1"/>
          <w:rtl/>
        </w:rPr>
        <w:t xml:space="preserve">
الأعلام،(دار العلم للملايين - بيروت،2002،ط 15،ج 4،ص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2026-06-10T06:22:55+03:00</dcterms:created>
  <dcterms:modified xsi:type="dcterms:W3CDTF">2026-06-10T06:22:55+03:00</dcterms:modified>
</cp:coreProperties>
</file>

<file path=docProps/custom.xml><?xml version="1.0" encoding="utf-8"?>
<Properties xmlns="http://schemas.openxmlformats.org/officeDocument/2006/custom-properties" xmlns:vt="http://schemas.openxmlformats.org/officeDocument/2006/docPropsVTypes"/>
</file>