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الشنقيطي
</w:t>
      </w:r>
    </w:p>
    <w:p>
      <w:pPr>
        <w:jc w:val="start"/>
        <w:bidi/>
      </w:pPr>
      <w:r>
        <w:rPr>
          <w:rFonts w:ascii="arial" w:hAnsi="arial" w:eastAsia="arial" w:cs="arial"/>
          <w:sz w:val="28"/>
          <w:szCs w:val="28"/>
          <w:b w:val="1"/>
          <w:bCs w:val="1"/>
          <w:rtl/>
        </w:rPr>
        <w:t xml:space="preserve">الشنقيطي
</w:t>
      </w:r>
    </w:p>
    <w:p>
      <w:pPr/>
      <w:r>
        <w:rPr/>
        <w:t xml:space="preserve">الشنقيطي  عبد الله بن ابراهيم العلوي الشنقيطي، ابو محمد: فقيه مالكي، علوي النسب، من غير ابناء فاطمة، من قبيلة (ادو عل) من الشناقطة. تجرد اربعين سنة لطلب العلم في الصحارى والمدن، واقام بفاس مدة، وحج، وعاد إلى بلاده فتوفى فيها. له (نشر البنود - ط) ثلاثة مجلدات في شرح الفية له في اصول الفقه سملها (مراقي السعود) و (نور الاقاح) منظومة في علم البيان، وشرحها (فيض الفتاح) و (طلعة الانوار) منظومة في مصطلح الحديث، وشرحها (هدى الابرار على طلعة الانوار - خ). </w:t>
      </w:r>
    </w:p>
    <w:p>
      <w:pPr>
        <w:jc w:val="start"/>
        <w:bidi/>
      </w:pPr>
      <w:r>
        <w:rPr>
          <w:sz w:val="24"/>
          <w:szCs w:val="24"/>
          <w:b w:val="1"/>
          <w:bCs w:val="1"/>
          <w:rtl/>
        </w:rPr>
        <w:t xml:space="preserve">
الأعلام،(دار العلم للملايين - بيروت،2002،ط 15،ج 4،ص 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2026-06-10T05:17:35+03:00</dcterms:created>
  <dcterms:modified xsi:type="dcterms:W3CDTF">2026-06-10T05:17:35+03:00</dcterms:modified>
</cp:coreProperties>
</file>

<file path=docProps/custom.xml><?xml version="1.0" encoding="utf-8"?>
<Properties xmlns="http://schemas.openxmlformats.org/officeDocument/2006/custom-properties" xmlns:vt="http://schemas.openxmlformats.org/officeDocument/2006/docPropsVTypes"/>
</file>