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الخزندار
</w:t>
      </w:r>
    </w:p>
    <w:p>
      <w:pPr>
        <w:jc w:val="start"/>
        <w:bidi/>
      </w:pPr>
      <w:r>
        <w:rPr>
          <w:rFonts w:ascii="arial" w:hAnsi="arial" w:eastAsia="arial" w:cs="arial"/>
          <w:sz w:val="28"/>
          <w:szCs w:val="28"/>
          <w:b w:val="1"/>
          <w:bCs w:val="1"/>
          <w:rtl/>
        </w:rPr>
        <w:t xml:space="preserve">الخزندار
</w:t>
      </w:r>
    </w:p>
    <w:p>
      <w:pPr/>
      <w:r>
        <w:rPr/>
        <w:t xml:space="preserve">الخزندار  عبد اللطيف بن شريف بن عبد القادر الخزندار: قاض أديب، له شعر. أصله من المدينة المنورة. استوطن حلب وتعلم بها وبدمشق وحمص وتولى خطابة الجامع الأموي بحلب ومشيخة القراء ثم كان قاضيا شرعيا في المعرة (1922) فقاضيا في حلب (31) وقاضيا شرعيا في دمشق (41) واصدر كتبا من تأليفه، منها (ديوان شعر) و (رسالة في التجويد) و (رسالة في البديع) و (ديوان خطب) و (غيض من فيض) مجموعة مقالات له نشرت في الصحف. أ</w:t>
      </w:r>
    </w:p>
    <w:p/>
    <w:p>
      <w:pPr/>
      <w:r>
        <w:rPr/>
        <w:t xml:space="preserve">. </w:t>
      </w:r>
    </w:p>
    <w:p>
      <w:pPr>
        <w:jc w:val="start"/>
        <w:bidi/>
      </w:pPr>
      <w:r>
        <w:rPr>
          <w:sz w:val="24"/>
          <w:szCs w:val="24"/>
          <w:b w:val="1"/>
          <w:bCs w:val="1"/>
          <w:rtl/>
        </w:rPr>
        <w:t xml:space="preserve">
الأعلام،(دار العلم للملايين - بيروت،2002،ط 15،ج 4،ص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2026-06-10T03:34:58+03:00</dcterms:created>
  <dcterms:modified xsi:type="dcterms:W3CDTF">2026-06-10T03:34:58+03:00</dcterms:modified>
</cp:coreProperties>
</file>

<file path=docProps/custom.xml><?xml version="1.0" encoding="utf-8"?>
<Properties xmlns="http://schemas.openxmlformats.org/officeDocument/2006/custom-properties" xmlns:vt="http://schemas.openxmlformats.org/officeDocument/2006/docPropsVTypes"/>
</file>