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الداود
</w:t>
      </w:r>
    </w:p>
    <w:p>
      <w:pPr>
        <w:jc w:val="start"/>
        <w:bidi/>
      </w:pPr>
      <w:r>
        <w:rPr>
          <w:rFonts w:ascii="arial" w:hAnsi="arial" w:eastAsia="arial" w:cs="arial"/>
          <w:sz w:val="28"/>
          <w:szCs w:val="28"/>
          <w:b w:val="1"/>
          <w:bCs w:val="1"/>
          <w:rtl/>
        </w:rPr>
        <w:t xml:space="preserve">أحمد الداود
</w:t>
      </w:r>
    </w:p>
    <w:p>
      <w:pPr/>
      <w:r>
        <w:rPr/>
        <w:t xml:space="preserve">أحمد الداود  أحمد بن داود بن سليمان بن جرجيس العاني، النقشبندي البغدادي: وزير، من مشايخ المتصوفة في العراق. عمل مدرسا في قضاء ’’بعقوبة’’ ثم واعظا في بغداد، فمديرا للاوقاف، فوزيرا في وزارة عبد المحسن السعدون الثالثة. وتوفي ببغداد. له رسائل ما زالت مخطوطة، منها (المواهب الرحمانية’’ في الرد على من كانوا ينبزون بالوهابية، و (تشطير البردة) و (تشطير لامية العجم) و (تشطير لامية ابن الوردي’’. </w:t>
      </w:r>
    </w:p>
    <w:p>
      <w:pPr>
        <w:jc w:val="start"/>
        <w:bidi/>
      </w:pPr>
      <w:r>
        <w:rPr>
          <w:sz w:val="24"/>
          <w:szCs w:val="24"/>
          <w:b w:val="1"/>
          <w:bCs w:val="1"/>
          <w:rtl/>
        </w:rPr>
        <w:t xml:space="preserve">
الأعلام،(دار العلم للملايين - بيروت،2002،ط 15،ج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2026-07-26T05:37:31+03:00</dcterms:created>
  <dcterms:modified xsi:type="dcterms:W3CDTF">2026-07-26T05:37:31+03:00</dcterms:modified>
</cp:coreProperties>
</file>

<file path=docProps/custom.xml><?xml version="1.0" encoding="utf-8"?>
<Properties xmlns="http://schemas.openxmlformats.org/officeDocument/2006/custom-properties" xmlns:vt="http://schemas.openxmlformats.org/officeDocument/2006/docPropsVTypes"/>
</file>