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قضيب البان
</w:t>
      </w:r>
    </w:p>
    <w:p>
      <w:pPr>
        <w:jc w:val="start"/>
        <w:bidi/>
      </w:pPr>
      <w:r>
        <w:rPr>
          <w:rFonts w:ascii="arial" w:hAnsi="arial" w:eastAsia="arial" w:cs="arial"/>
          <w:sz w:val="28"/>
          <w:szCs w:val="28"/>
          <w:b w:val="1"/>
          <w:bCs w:val="1"/>
          <w:rtl/>
        </w:rPr>
        <w:t xml:space="preserve">ابن قضيب البان
</w:t>
      </w:r>
    </w:p>
    <w:p>
      <w:pPr/>
      <w:r>
        <w:rPr/>
        <w:t xml:space="preserve">ابن قضيب البان  عبد القادر بن محمد، من نسل قضيب البان الحسين الموصلي، من ابناء موسى الجون الحسني: من علماء المتصوفين. ولد في حماة، وجاور بمكة، واقام مدة في القاهرة، وولي نقابة حلب وديار بكر وما والاهما، وتوفى في حلب. له نحو اربعين كتابا نحا فيها منحى القوم، منها (الفتوحات المدنية) على نسق الفتوحات المكية، و (نهج السعادة) و (ناقوس الطباع في اسرار السماع) و (وصف الآل) و (المواقف الالهية) و (ديوان شعر - خ). </w:t>
      </w:r>
    </w:p>
    <w:p>
      <w:pPr>
        <w:jc w:val="start"/>
        <w:bidi/>
      </w:pPr>
      <w:r>
        <w:rPr>
          <w:sz w:val="24"/>
          <w:szCs w:val="24"/>
          <w:b w:val="1"/>
          <w:bCs w:val="1"/>
          <w:rtl/>
        </w:rPr>
        <w:t xml:space="preserve">
الأعلام،(دار العلم للملايين - بيروت،2002،ط 15،ج 4،ص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2026-05-15T14:31:42+03:00</dcterms:created>
  <dcterms:modified xsi:type="dcterms:W3CDTF">2026-05-15T14:31:42+03:00</dcterms:modified>
</cp:coreProperties>
</file>

<file path=docProps/custom.xml><?xml version="1.0" encoding="utf-8"?>
<Properties xmlns="http://schemas.openxmlformats.org/officeDocument/2006/custom-properties" xmlns:vt="http://schemas.openxmlformats.org/officeDocument/2006/docPropsVTypes"/>
</file>