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الرافعي
</w:t>
      </w:r>
    </w:p>
    <w:p>
      <w:pPr>
        <w:jc w:val="start"/>
        <w:bidi/>
      </w:pPr>
      <w:r>
        <w:rPr>
          <w:rFonts w:ascii="arial" w:hAnsi="arial" w:eastAsia="arial" w:cs="arial"/>
          <w:sz w:val="28"/>
          <w:szCs w:val="28"/>
          <w:b w:val="1"/>
          <w:bCs w:val="1"/>
          <w:rtl/>
        </w:rPr>
        <w:t xml:space="preserve">الرافعي
</w:t>
      </w:r>
    </w:p>
    <w:p>
      <w:pPr/>
      <w:r>
        <w:rPr/>
        <w:t xml:space="preserve">الرافعي  عبد الغني بن أحمد بن عبد القادر الرافعي البيساري الفاروقي: قاض، من فقهاء الحنفية. ولد وتعلم في طرابلس الشام. واخذ الحديث عن علماء دمشق. وعين مفتيا لطرابلس ثلاث سنوات، فقاضيا في لواء (تعز) باليمن، فرئيسا لاستئناف الحقوق والجزاء، في (ولاية) صنعاء. وغلب عليه التصوف في آخر عمره فانقطع للعبادة بمكة وتوفى بها. له كتب، منها (شرح بديعية الفي الحلي) ادب، و (تعليقات على حاشية ابن عابدين على الدر) فقه، و (ترصيع الجواهر المكية في تزكية الاخلاق المرضية - ط) تصوف. وله شعر. </w:t>
      </w:r>
    </w:p>
    <w:p>
      <w:pPr>
        <w:jc w:val="start"/>
        <w:bidi/>
      </w:pPr>
      <w:r>
        <w:rPr>
          <w:sz w:val="24"/>
          <w:szCs w:val="24"/>
          <w:b w:val="1"/>
          <w:bCs w:val="1"/>
          <w:rtl/>
        </w:rPr>
        <w:t xml:space="preserve">
الأعلام،(دار العلم للملايين - بيروت،2002،ط 15،ج 4،ص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2026-05-13T22:42:38+03:00</dcterms:created>
  <dcterms:modified xsi:type="dcterms:W3CDTF">2026-05-13T22:42:38+03:00</dcterms:modified>
</cp:coreProperties>
</file>

<file path=docProps/custom.xml><?xml version="1.0" encoding="utf-8"?>
<Properties xmlns="http://schemas.openxmlformats.org/officeDocument/2006/custom-properties" xmlns:vt="http://schemas.openxmlformats.org/officeDocument/2006/docPropsVTypes"/>
</file>