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المغيث الأيوبي
</w:t>
      </w:r>
    </w:p>
    <w:p>
      <w:pPr>
        <w:jc w:val="start"/>
        <w:bidi/>
      </w:pPr>
      <w:r>
        <w:rPr>
          <w:rFonts w:ascii="arial" w:hAnsi="arial" w:eastAsia="arial" w:cs="arial"/>
          <w:sz w:val="28"/>
          <w:szCs w:val="28"/>
          <w:b w:val="1"/>
          <w:bCs w:val="1"/>
          <w:rtl/>
        </w:rPr>
        <w:t xml:space="preserve">المغيث الأيوبي
</w:t>
      </w:r>
    </w:p>
    <w:p>
      <w:pPr/>
      <w:r>
        <w:rPr/>
        <w:t xml:space="preserve">المغيث الأيوبي  عبد العزيز (المغيث شهاب الدين) ابن عيسى بن العادل بن الكامل: من أمراء الدولة الأيوبية. كان صاحب الكرك والشوبك. وتحيل عليه الملك الظاهر حين دخل الشام (661) حتى نزل إليه فكان آخر العهد به. قال الذهبي: وقبض الظاهر على ثلاثة من نظراء المغيث في الجلالة والرتبة أنكروا عليه إعدامه له. وفي الشذرات أنه كاتب هولاكو، على أن يأخذ له مصر. وطلب منه 20 ألف فارس، فأفتى العلماء بعدم إبقاء من هذا فعله. </w:t>
      </w:r>
    </w:p>
    <w:p>
      <w:pPr>
        <w:jc w:val="start"/>
        <w:bidi/>
      </w:pPr>
      <w:r>
        <w:rPr>
          <w:sz w:val="24"/>
          <w:szCs w:val="24"/>
          <w:b w:val="1"/>
          <w:bCs w:val="1"/>
          <w:rtl/>
        </w:rPr>
        <w:t xml:space="preserve">
الأعلام،(دار العلم للملايين - بيروت،2002،ط 15،ج 4،ص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2026-05-09T15:19:40+03:00</dcterms:created>
  <dcterms:modified xsi:type="dcterms:W3CDTF">2026-05-09T15:19:40+03:00</dcterms:modified>
</cp:coreProperties>
</file>

<file path=docProps/custom.xml><?xml version="1.0" encoding="utf-8"?>
<Properties xmlns="http://schemas.openxmlformats.org/officeDocument/2006/custom-properties" xmlns:vt="http://schemas.openxmlformats.org/officeDocument/2006/docPropsVTypes"/>
</file>