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البراج
</w:t>
      </w:r>
    </w:p>
    <w:p>
      <w:pPr/>
      <w:r>
        <w:rPr/>
        <w:t xml:space="preserve">ابن البراج  عبد العزيز بن بحر بن عبد العزيز، أبو القاسم ابن البراج: فقيه إمامي. قرأ على السيد المرتضى سنة 429 وولي القضاء بطرابلس (لبنان) عشرين عاما. ومات بها. له تصانيف، منها (جواهر الفقه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البراج
</w:t>
      </w:r>
    </w:p>
    <w:p>
      <w:pPr/>
      <w:r>
        <w:rPr/>
        <w:t xml:space="preserve">ابن البراج اسمه عبد العزيز بن تحرير بن عبد العزيز بن البراج الطرابلسي المعروف بالقاضي.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2026-05-09T13:37:52+03:00</dcterms:created>
  <dcterms:modified xsi:type="dcterms:W3CDTF">2026-05-09T13:37:52+03:00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