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حمدوش
</w:t>
      </w:r>
    </w:p>
    <w:p>
      <w:pPr>
        <w:jc w:val="start"/>
        <w:bidi/>
      </w:pPr>
      <w:r>
        <w:rPr>
          <w:rFonts w:ascii="arial" w:hAnsi="arial" w:eastAsia="arial" w:cs="arial"/>
          <w:sz w:val="28"/>
          <w:szCs w:val="28"/>
          <w:b w:val="1"/>
          <w:bCs w:val="1"/>
          <w:rtl/>
        </w:rPr>
        <w:t xml:space="preserve">ابن حمدوش
</w:t>
      </w:r>
    </w:p>
    <w:p>
      <w:pPr/>
      <w:r>
        <w:rPr/>
        <w:t xml:space="preserve">ابن حمدوش  عبد الرزاق بن محمد بن حمدوش: عشاب فقيه رحالة. من أهل الجزائر. كانت حرفة أسرته الدباغة وعرف أبوه بالدباغ. حج حجته الأولى (سنة 1130) مارا بتونس. وقام برحلات إلى المغرب 1156 قرأ فيها على جماعة، منهم محمد بن عبد السلام البناني الفاسي. وأشار في رحلة أخرى إلى أنه زار بلاد العرب والعجم والترك. وروى في مدينة رشيد بمصر (سنة 1161 وصنف كتبا، منها (كشف الرموز في بيان الأعشاب - ط) نفيس، ورحلة سماها (لسان المقال، في النبأ عن النسب والحسب والآل - خ) الجزء الثاني منه في الرباط 463ك في آخره نقص، وفي الجزائر نسخة تامة من هذا الجزء تهيأ للنشر. وله (تعديل المزاج بسب قوانين العلاج). </w:t>
      </w:r>
    </w:p>
    <w:p>
      <w:pPr>
        <w:jc w:val="start"/>
        <w:bidi/>
      </w:pPr>
      <w:r>
        <w:rPr>
          <w:sz w:val="24"/>
          <w:szCs w:val="24"/>
          <w:b w:val="1"/>
          <w:bCs w:val="1"/>
          <w:rtl/>
        </w:rPr>
        <w:t xml:space="preserve">
الأعلام،(دار العلم للملايين - بيروت،2002،ط 15،ج 3،ص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2026-07-27T10:52:29+03:00</dcterms:created>
  <dcterms:modified xsi:type="dcterms:W3CDTF">2026-07-27T10:52:29+03:00</dcterms:modified>
</cp:coreProperties>
</file>

<file path=docProps/custom.xml><?xml version="1.0" encoding="utf-8"?>
<Properties xmlns="http://schemas.openxmlformats.org/officeDocument/2006/custom-properties" xmlns:vt="http://schemas.openxmlformats.org/officeDocument/2006/docPropsVTypes"/>
</file>