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بن إلياس بن أحمد بن المهدي، أبو القاسم  ولي عهد الحاكم بامر الله
</w:t>
      </w:r>
    </w:p>
    <w:p>
      <w:pPr>
        <w:jc w:val="start"/>
        <w:bidi/>
      </w:pPr>
      <w:r>
        <w:rPr>
          <w:rFonts w:ascii="arial" w:hAnsi="arial" w:eastAsia="arial" w:cs="arial"/>
          <w:sz w:val="28"/>
          <w:szCs w:val="28"/>
          <w:b w:val="1"/>
          <w:bCs w:val="1"/>
          <w:rtl/>
        </w:rPr>
        <w:t xml:space="preserve">ولي العهد
</w:t>
      </w:r>
    </w:p>
    <w:p>
      <w:pPr/>
      <w:r>
        <w:rPr/>
        <w:t xml:space="preserve">ولي العهد  عبد الرحيم (أبو القاسم) بن الياس ابن أحمد بن المهدي العبيدي: ولي عهد الحاكم بأمر الله، من أمراء العبيدين بمصر. أقامه الحاكم وليا لعهده سنة 404 ثم أرسله واليا على دمشق (410) فرخص للناس فيما كان الحاكم ينهاهم عنه، والتف حوله أحداث البلد، وكرهه الجند فكتبوا إلى الحاكم فدعاه إليه ثم أعاده بعد أربعة اشهر (411) فأخذ في المصادرة وبالغ في الإساءة، وجاء موت الحاكم في السنة نفسها وقيام ابنه (الظاهر) وورد على الأمراء في دمشق كتاب من الظاهر بالقبض على عبد الرحيم، فقيدوه، وسجن فمات. وقيل: قتل نفسه بسكين في الحبس. </w:t>
      </w:r>
    </w:p>
    <w:p>
      <w:pPr>
        <w:jc w:val="start"/>
        <w:bidi/>
      </w:pPr>
      <w:r>
        <w:rPr>
          <w:sz w:val="24"/>
          <w:szCs w:val="24"/>
          <w:b w:val="1"/>
          <w:bCs w:val="1"/>
          <w:rtl/>
        </w:rPr>
        <w:t xml:space="preserve">
الأعلام،(دار العلم للملايين - بيروت،2002،ط 15،ج 3،ص 343)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2026-07-27T13:51:59+03:00</dcterms:created>
  <dcterms:modified xsi:type="dcterms:W3CDTF">2026-07-27T13:51:59+03:00</dcterms:modified>
</cp:coreProperties>
</file>

<file path=docProps/custom.xml><?xml version="1.0" encoding="utf-8"?>
<Properties xmlns="http://schemas.openxmlformats.org/officeDocument/2006/custom-properties" xmlns:vt="http://schemas.openxmlformats.org/officeDocument/2006/docPropsVTypes"/>
</file>