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الملاح
</w:t>
      </w:r>
    </w:p>
    <w:p>
      <w:pPr>
        <w:jc w:val="start"/>
        <w:bidi/>
      </w:pPr>
      <w:r>
        <w:rPr>
          <w:rFonts w:ascii="arial" w:hAnsi="arial" w:eastAsia="arial" w:cs="arial"/>
          <w:sz w:val="28"/>
          <w:szCs w:val="28"/>
          <w:b w:val="1"/>
          <w:bCs w:val="1"/>
          <w:rtl/>
        </w:rPr>
        <w:t xml:space="preserve">الملاح
</w:t>
      </w:r>
    </w:p>
    <w:p>
      <w:pPr/>
      <w:r>
        <w:rPr/>
        <w:t xml:space="preserve">الملاح  عبد الرحمن بن يحيى بن محمد الملاح الحنفي المصري: أديب ظريف، له شعر. كان كاتب يد الشيخ زين العابدين بن محمد البكري، فأخيه أبي المواهب، فأحمد بن زين العابدين. رأيت له منظومة في 23 ورقة، بخطه سماها (قرة العين في فرح الزين) وصف بها بعض عادات مصر في أيامه، وصفا بديعا، على أبواب: في الكسوة، والبهلوان، والمصابيح، والحراقة، والسماع، والحلاوة، والأشربة، والأسمطة والطعام، والإصرافة، وزفل الليل، وزفة الطهور. توفي بالقاهرة. </w:t>
      </w:r>
    </w:p>
    <w:p>
      <w:pPr>
        <w:jc w:val="start"/>
        <w:bidi/>
      </w:pPr>
      <w:r>
        <w:rPr>
          <w:sz w:val="24"/>
          <w:szCs w:val="24"/>
          <w:b w:val="1"/>
          <w:bCs w:val="1"/>
          <w:rtl/>
        </w:rPr>
        <w:t xml:space="preserve">
الأعلام،(دار العلم للملايين - بيروت،2002،ط 15،ج 3،ص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2026-05-09T10:02:21+03:00</dcterms:created>
  <dcterms:modified xsi:type="dcterms:W3CDTF">2026-05-09T10:02:21+03:00</dcterms:modified>
</cp:coreProperties>
</file>

<file path=docProps/custom.xml><?xml version="1.0" encoding="utf-8"?>
<Properties xmlns="http://schemas.openxmlformats.org/officeDocument/2006/custom-properties" xmlns:vt="http://schemas.openxmlformats.org/officeDocument/2006/docPropsVTypes"/>
</file>