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قراعة
</w:t>
      </w:r>
    </w:p>
    <w:p>
      <w:pPr>
        <w:jc w:val="start"/>
        <w:bidi/>
      </w:pPr>
      <w:r>
        <w:rPr>
          <w:rFonts w:ascii="arial" w:hAnsi="arial" w:eastAsia="arial" w:cs="arial"/>
          <w:sz w:val="28"/>
          <w:szCs w:val="28"/>
          <w:b w:val="1"/>
          <w:bCs w:val="1"/>
          <w:rtl/>
        </w:rPr>
        <w:t xml:space="preserve">قراعة
</w:t>
      </w:r>
    </w:p>
    <w:p>
      <w:pPr/>
      <w:r>
        <w:rPr/>
        <w:t xml:space="preserve">قراعة  عبد الرحمن بن محمود بن أحمد قراعة: مفتي مصر، ومن جماعة كبار العلماء بالأزهر. ولد في بندر أسيوط من أسرة علمية. وتعلم بالأزهر وتولى الإفتاء بجرجا (نحو 1897) وبأسوان فالدقهلية (1908) وما زال إلى أن تولى إفتاء الديار المصرية. له (بحث في النذور وأحكامها - ط) رسالة. </w:t>
      </w:r>
    </w:p>
    <w:p>
      <w:pPr>
        <w:jc w:val="start"/>
        <w:bidi/>
      </w:pPr>
      <w:r>
        <w:rPr>
          <w:sz w:val="24"/>
          <w:szCs w:val="24"/>
          <w:b w:val="1"/>
          <w:bCs w:val="1"/>
          <w:rtl/>
        </w:rPr>
        <w:t xml:space="preserve">
الأعلام،(دار العلم للملايين - بيروت،2002،ط 15،ج 3،ص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2026-07-27T03:37:15+03:00</dcterms:created>
  <dcterms:modified xsi:type="dcterms:W3CDTF">2026-07-27T03:37:15+03:00</dcterms:modified>
</cp:coreProperties>
</file>

<file path=docProps/custom.xml><?xml version="1.0" encoding="utf-8"?>
<Properties xmlns="http://schemas.openxmlformats.org/officeDocument/2006/custom-properties" xmlns:vt="http://schemas.openxmlformats.org/officeDocument/2006/docPropsVTypes"/>
</file>